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A041BC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6101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5173E1CF">
      <w:pPr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 w:ascii="黑体" w:hAnsi="黑体" w:eastAsia="黑体" w:cs="黑体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  <w:t>丰盈云人力资源服务业财一体化管理系统技术服务项目-交付方案</w:t>
      </w:r>
    </w:p>
    <w:p w14:paraId="36EDB26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57A71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BD2AA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2708" w:type="dxa"/>
          </w:tcPr>
          <w:p w14:paraId="227072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2025.02.20</w:t>
            </w:r>
          </w:p>
        </w:tc>
      </w:tr>
      <w:tr w14:paraId="2B1AF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E7122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47A3B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2025.02.20</w:t>
            </w:r>
          </w:p>
        </w:tc>
      </w:tr>
      <w:tr w14:paraId="6A263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10E267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6778BF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2025.02.20</w:t>
            </w:r>
          </w:p>
        </w:tc>
      </w:tr>
    </w:tbl>
    <w:p w14:paraId="5E589AD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D41241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240312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696689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527E0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70A1DD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6596A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636D9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61995B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919" w:type="dxa"/>
          </w:tcPr>
          <w:p w14:paraId="1104F8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5F66E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320A26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 w14:paraId="209088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1239720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BFB8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1F845A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1F24E8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0D643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667D84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DE5177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2EEFD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F10786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4C5B3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039A55E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335458F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121FB8D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E3ED07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9B60AC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B70BAA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108045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_Toc26101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_Toc26101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C4C63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_Toc6616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项目概述</w:t>
          </w:r>
          <w:r>
            <w:tab/>
          </w:r>
          <w:r>
            <w:fldChar w:fldCharType="begin"/>
          </w:r>
          <w:r>
            <w:instrText xml:space="preserve"> PAGEREF _Toc6616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C5DCE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_Toc17932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服务目标与服务原则</w:t>
          </w:r>
          <w:r>
            <w:tab/>
          </w:r>
          <w:r>
            <w:fldChar w:fldCharType="begin"/>
          </w:r>
          <w:r>
            <w:instrText xml:space="preserve"> PAGEREF _Toc17932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90CAF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服务目标</w:t>
          </w:r>
          <w:r>
            <w:tab/>
          </w:r>
          <w:r>
            <w:fldChar w:fldCharType="begin"/>
          </w:r>
          <w:r>
            <w:instrText xml:space="preserve"> PAGEREF _Toc13643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DCFDC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_Toc27050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服务原则</w:t>
          </w:r>
          <w:r>
            <w:tab/>
          </w:r>
          <w:r>
            <w:fldChar w:fldCharType="begin"/>
          </w:r>
          <w:r>
            <w:instrText xml:space="preserve"> PAGEREF _Toc27050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D59DE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_Toc27944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服务范围与内容</w:t>
          </w:r>
          <w:r>
            <w:tab/>
          </w:r>
          <w:r>
            <w:fldChar w:fldCharType="begin"/>
          </w:r>
          <w:r>
            <w:instrText xml:space="preserve"> PAGEREF _Toc27944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EEE03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服务范围</w:t>
          </w:r>
          <w:r>
            <w:tab/>
          </w:r>
          <w:r>
            <w:fldChar w:fldCharType="begin"/>
          </w:r>
          <w:r>
            <w:instrText xml:space="preserve"> PAGEREF _Toc19475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E5CD7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_Toc20883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核心服务内容</w:t>
          </w:r>
          <w:r>
            <w:tab/>
          </w:r>
          <w:r>
            <w:fldChar w:fldCharType="begin"/>
          </w:r>
          <w:r>
            <w:instrText xml:space="preserve"> PAGEREF _Toc20883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2AF73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3.2.1. 驻场运维团队服务</w:t>
          </w:r>
          <w:r>
            <w:tab/>
          </w:r>
          <w:r>
            <w:fldChar w:fldCharType="begin"/>
          </w:r>
          <w:r>
            <w:instrText xml:space="preserve"> PAGEREF _Toc32509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F10DB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3.2.2. 运维管理平台支撑</w:t>
          </w:r>
          <w:r>
            <w:tab/>
          </w:r>
          <w:r>
            <w:fldChar w:fldCharType="begin"/>
          </w:r>
          <w:r>
            <w:instrText xml:space="preserve"> PAGEREF _Toc3821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74561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3.2.3. 资产全生命周期管理</w:t>
          </w:r>
          <w:r>
            <w:tab/>
          </w:r>
          <w:r>
            <w:fldChar w:fldCharType="begin"/>
          </w:r>
          <w:r>
            <w:instrText xml:space="preserve"> PAGEREF _Toc24775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7230D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_Toc18347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3.2.4. 服务响应与故障处理</w:t>
          </w:r>
          <w:r>
            <w:tab/>
          </w:r>
          <w:r>
            <w:fldChar w:fldCharType="begin"/>
          </w:r>
          <w:r>
            <w:instrText xml:space="preserve"> PAGEREF _Toc18347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1144F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3.2.5. 备品备件保障服务</w:t>
          </w:r>
          <w:r>
            <w:tab/>
          </w:r>
          <w:r>
            <w:fldChar w:fldCharType="begin"/>
          </w:r>
          <w:r>
            <w:instrText xml:space="preserve"> PAGEREF _Toc6485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5FFC3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3.2.6. 系统优化与改善服务</w:t>
          </w:r>
          <w:r>
            <w:tab/>
          </w:r>
          <w:r>
            <w:fldChar w:fldCharType="begin"/>
          </w:r>
          <w:r>
            <w:instrText xml:space="preserve"> PAGEREF _Toc32325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00616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3.2.7. 数据管理与备份服务</w:t>
          </w:r>
          <w:r>
            <w:tab/>
          </w:r>
          <w:r>
            <w:fldChar w:fldCharType="begin"/>
          </w:r>
          <w:r>
            <w:instrText xml:space="preserve"> PAGEREF _Toc15072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EE5D8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3.2.8. 应急响应与事故运维</w:t>
          </w:r>
          <w:r>
            <w:tab/>
          </w:r>
          <w:r>
            <w:fldChar w:fldCharType="begin"/>
          </w:r>
          <w:r>
            <w:instrText xml:space="preserve"> PAGEREF _Toc5951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1C747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服务交付管理体系</w:t>
          </w:r>
          <w:r>
            <w:tab/>
          </w:r>
          <w:r>
            <w:fldChar w:fldCharType="begin"/>
          </w:r>
          <w:r>
            <w:instrText xml:space="preserve"> PAGEREF _Toc3646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FA38D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_Toc31962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组织架构与人员配置</w:t>
          </w:r>
          <w:r>
            <w:tab/>
          </w:r>
          <w:r>
            <w:fldChar w:fldCharType="begin"/>
          </w:r>
          <w:r>
            <w:instrText xml:space="preserve"> PAGEREF _Toc31962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BC4D4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岗位职责说明</w:t>
          </w:r>
          <w:r>
            <w:tab/>
          </w:r>
          <w:r>
            <w:fldChar w:fldCharType="begin"/>
          </w:r>
          <w:r>
            <w:instrText xml:space="preserve"> PAGEREF _Toc3692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C0351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服务流程管理</w:t>
          </w:r>
          <w:r>
            <w:tab/>
          </w:r>
          <w:r>
            <w:fldChar w:fldCharType="begin"/>
          </w:r>
          <w:r>
            <w:instrText xml:space="preserve"> PAGEREF _Toc30962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02248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_Toc30046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服务质量控制</w:t>
          </w:r>
          <w:r>
            <w:tab/>
          </w:r>
          <w:r>
            <w:fldChar w:fldCharType="begin"/>
          </w:r>
          <w:r>
            <w:instrText xml:space="preserve"> PAGEREF _Toc30046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674EF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服务保障措施</w:t>
          </w:r>
          <w:r>
            <w:tab/>
          </w:r>
          <w:r>
            <w:fldChar w:fldCharType="begin"/>
          </w:r>
          <w:r>
            <w:instrText xml:space="preserve"> PAGEREF _Toc16138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29553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资源保障</w:t>
          </w:r>
          <w:r>
            <w:tab/>
          </w:r>
          <w:r>
            <w:fldChar w:fldCharType="begin"/>
          </w:r>
          <w:r>
            <w:instrText xml:space="preserve"> PAGEREF _Toc3174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9B26C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_Toc12195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技术保障</w:t>
          </w:r>
          <w:r>
            <w:tab/>
          </w:r>
          <w:r>
            <w:fldChar w:fldCharType="begin"/>
          </w:r>
          <w:r>
            <w:instrText xml:space="preserve"> PAGEREF _Toc12195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ACF3C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_Toc17580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保密与安全措施</w:t>
          </w:r>
          <w:r>
            <w:tab/>
          </w:r>
          <w:r>
            <w:fldChar w:fldCharType="begin"/>
          </w:r>
          <w:r>
            <w:instrText xml:space="preserve"> PAGEREF _Toc17580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5D84B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_Toc26438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服务交付物与报告机制</w:t>
          </w:r>
          <w:r>
            <w:tab/>
          </w:r>
          <w:r>
            <w:fldChar w:fldCharType="begin"/>
          </w:r>
          <w:r>
            <w:instrText xml:space="preserve"> PAGEREF _Toc26438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B1F03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F2DA33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556F67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" w:name="_Toc6616"/>
      <w:r>
        <w:rPr>
          <w:rFonts w:hint="default"/>
          <w:lang w:val="en-US" w:eastAsia="zh-CN"/>
        </w:rPr>
        <w:t>项目概述</w:t>
      </w:r>
      <w:bookmarkEnd w:id="1"/>
    </w:p>
    <w:p w14:paraId="7895C3F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丰盈云人力资源服务业财一体化管理系统技术服务项目（以下简称“本项目”），旨在为甲方（安徽益联科技有限公司）提供涵盖硬件设备、基础软件及应用系统软件的综合性、全生命周期运行维护服务。服务期限自2024年12月28日至2025年12月28日，为期一年。</w:t>
      </w:r>
    </w:p>
    <w:p w14:paraId="46B399A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北京新都远景网络技术有限公司（以下简称“我方”或“乙方”）作为本项目的受托方，将严格遵循双方签订的《技术服务合同》之约定，并依据ITSS（信息技术服务标准）等业界最佳实践，组建专业化服务团队，建立标准化服务流程，以确保系统持续稳定运行，保障客户业务连续性，并致力于通过持续的优化服务提升系统性能与用户体验。</w:t>
      </w:r>
    </w:p>
    <w:p w14:paraId="5FC5482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17932"/>
      <w:r>
        <w:rPr>
          <w:rFonts w:hint="default"/>
          <w:lang w:val="en-US" w:eastAsia="zh-CN"/>
        </w:rPr>
        <w:t>服务目标与服务原则</w:t>
      </w:r>
      <w:bookmarkEnd w:id="2"/>
    </w:p>
    <w:p w14:paraId="3229838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13643"/>
      <w:r>
        <w:rPr>
          <w:rFonts w:hint="default"/>
          <w:lang w:val="en-US" w:eastAsia="zh-CN"/>
        </w:rPr>
        <w:t>服务目标</w:t>
      </w:r>
      <w:bookmarkEnd w:id="3"/>
    </w:p>
    <w:p w14:paraId="17FB576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“三包”承诺：对服务范围内的设备设施，实行“包运行、包维护、包管理”，确保系统功能完整、运行流畅、管理有序。</w:t>
      </w:r>
    </w:p>
    <w:p w14:paraId="0468E4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高可用性保障：确保系统“及时、准确、稳定”运行，将非计划性服务中断降至最低，保障客户业务的高效开展。</w:t>
      </w:r>
    </w:p>
    <w:p w14:paraId="5A30A03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硬件完好性：做到“保完好、不中断”，建立高效的备件响应机制，确保配件更换及时、高效，所有更换件</w:t>
      </w:r>
      <w:bookmarkStart w:id="26" w:name="_GoBack"/>
      <w:bookmarkEnd w:id="26"/>
      <w:r>
        <w:rPr>
          <w:rFonts w:hint="default"/>
          <w:lang w:val="en-US" w:eastAsia="zh-CN"/>
        </w:rPr>
        <w:t>均为原厂或符合原厂标准的合格产品。</w:t>
      </w:r>
    </w:p>
    <w:p w14:paraId="3AC9DED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信息安全：严格遵守“保密、不泄密”原则，执行双方签订的保密协议，确保客户数据与敏感信息的安全。</w:t>
      </w:r>
    </w:p>
    <w:p w14:paraId="5B793FE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培训目标：提供不少于5小时的系统应用现场培训，确保甲方关键用户熟练操作，并签署《培训确认书》。</w:t>
      </w:r>
    </w:p>
    <w:p w14:paraId="26818D9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维护响应目标：提供7×24小时响应。对于甲方提出的软件技术问题，确保在3小时内安排技术人员开始处理（通过热线或现场支持），以满足合同第1.1条之约定。</w:t>
      </w:r>
    </w:p>
    <w:p w14:paraId="4040B2C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27050"/>
      <w:r>
        <w:rPr>
          <w:rFonts w:hint="default"/>
          <w:lang w:val="en-US" w:eastAsia="zh-CN"/>
        </w:rPr>
        <w:t>服务原则</w:t>
      </w:r>
      <w:bookmarkEnd w:id="4"/>
    </w:p>
    <w:p w14:paraId="7D6D404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以客户为中心：快速响应客户需求，以解决客户问题、保障业务运行为首要任务。</w:t>
      </w:r>
    </w:p>
    <w:p w14:paraId="6AB5599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预防为主：通过主动监控、定期巡检和性能分析，提前发现并消除潜在风险。</w:t>
      </w:r>
    </w:p>
    <w:p w14:paraId="4A4AB1A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流程驱动：建立并遵循标准化的服务管理流程（如事件、问题、变更、配置管理），确保服务交付的可控与可追溯。</w:t>
      </w:r>
    </w:p>
    <w:p w14:paraId="33F7979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持续改进：定期回顾服务绩效，分析故障根因，优化服务流程与技术方案，实现服务质量的螺旋式上升。</w:t>
      </w:r>
    </w:p>
    <w:p w14:paraId="228CA7C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7944"/>
      <w:r>
        <w:rPr>
          <w:rFonts w:hint="default"/>
          <w:lang w:val="en-US" w:eastAsia="zh-CN"/>
        </w:rPr>
        <w:t>服务范围与内容</w:t>
      </w:r>
      <w:bookmarkEnd w:id="5"/>
    </w:p>
    <w:p w14:paraId="5432E84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9475"/>
      <w:r>
        <w:rPr>
          <w:rFonts w:hint="default"/>
          <w:lang w:val="en-US" w:eastAsia="zh-CN"/>
        </w:rPr>
        <w:t>服务范围</w:t>
      </w:r>
      <w:bookmarkEnd w:id="6"/>
    </w:p>
    <w:p w14:paraId="18EDE93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涵盖合同约定的所有硬件设备（包括但不限于服务器、网络设备、PC终端、打印机、复印机）及软件系统（操作系统、数据库、中间件、丰盈云业财一体化管理应用系统等）的运行监控、故障处理、日常维护、性能优化及技术支持。</w:t>
      </w:r>
    </w:p>
    <w:p w14:paraId="079D469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0883"/>
      <w:r>
        <w:rPr>
          <w:rFonts w:hint="default"/>
          <w:lang w:val="en-US" w:eastAsia="zh-CN"/>
        </w:rPr>
        <w:t>核心服务内容</w:t>
      </w:r>
      <w:bookmarkEnd w:id="7"/>
    </w:p>
    <w:p w14:paraId="08EC27D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32509"/>
      <w:r>
        <w:rPr>
          <w:rFonts w:hint="default"/>
          <w:lang w:val="en-US" w:eastAsia="zh-CN"/>
        </w:rPr>
        <w:t>驻场运维团队服务</w:t>
      </w:r>
      <w:bookmarkEnd w:id="8"/>
    </w:p>
    <w:p w14:paraId="22E2830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我方将为本项目组建并派驻一支由</w:t>
      </w: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名专业</w:t>
      </w:r>
      <w:r>
        <w:rPr>
          <w:rFonts w:hint="eastAsia"/>
          <w:lang w:val="en-US" w:eastAsia="zh-CN"/>
        </w:rPr>
        <w:t>运维人员</w:t>
      </w:r>
      <w:r>
        <w:rPr>
          <w:rFonts w:hint="default"/>
          <w:lang w:val="en-US" w:eastAsia="zh-CN"/>
        </w:rPr>
        <w:t>构成的现场服务团队，实行A/B岗互补与轮值机制，确保服务覆盖全年365天。团队基本配置如下：</w:t>
      </w:r>
    </w:p>
    <w:tbl>
      <w:tblPr>
        <w:tblStyle w:val="20"/>
        <w:tblW w:w="93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2"/>
        <w:gridCol w:w="925"/>
        <w:gridCol w:w="7005"/>
      </w:tblGrid>
      <w:tr w14:paraId="300E9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blHeader/>
        </w:trPr>
        <w:tc>
          <w:tcPr>
            <w:tcW w:w="1422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674A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岗位名称</w:t>
            </w:r>
          </w:p>
        </w:tc>
        <w:tc>
          <w:tcPr>
            <w:tcW w:w="92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9EA0E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人数</w:t>
            </w:r>
          </w:p>
        </w:tc>
        <w:tc>
          <w:tcPr>
            <w:tcW w:w="700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34AED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主要职责概述</w:t>
            </w:r>
          </w:p>
        </w:tc>
      </w:tr>
      <w:tr w14:paraId="4A955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2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C3194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现场项目经理</w:t>
            </w:r>
          </w:p>
        </w:tc>
        <w:tc>
          <w:tcPr>
            <w:tcW w:w="92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98BBE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700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A4A4E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对应“运维项目经理”岗位职责。负责项目现场全面管理，包括服务计划制定、团队协调、客户沟通、SLA监控、服务报告编制及服务质量持续改进。作为与甲方对接的第一责任人。</w:t>
            </w:r>
          </w:p>
        </w:tc>
      </w:tr>
      <w:tr w14:paraId="629FF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2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73DDA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运维工程师</w:t>
            </w:r>
          </w:p>
        </w:tc>
        <w:tc>
          <w:tcPr>
            <w:tcW w:w="92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18301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8</w:t>
            </w:r>
          </w:p>
        </w:tc>
        <w:tc>
          <w:tcPr>
            <w:tcW w:w="700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2B49B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对应“运维工程师”及“服务台专员”部分职责。负责日常巡检、监控告警处理、桌面支持、硬件故障排查、数据备份执行、系统安装配置及服务台一线响应等工作。</w:t>
            </w:r>
          </w:p>
        </w:tc>
      </w:tr>
    </w:tbl>
    <w:p w14:paraId="52A1A5B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3821"/>
      <w:r>
        <w:rPr>
          <w:rFonts w:hint="default"/>
          <w:lang w:val="en-US" w:eastAsia="zh-CN"/>
        </w:rPr>
        <w:t>运维管理平台支撑</w:t>
      </w:r>
      <w:bookmarkEnd w:id="9"/>
    </w:p>
    <w:p w14:paraId="3F645FE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免费提供我方自主运维管理平台的访问权限（不少于3个管理账号），该平台集成以下功能模块，实现对运维工作的信息化、流程化管理：</w:t>
      </w:r>
    </w:p>
    <w:p w14:paraId="1F98DA3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服务台/事件管理：统一受理、派单、跟踪、闭环所有服务请求与故障申告。</w:t>
      </w:r>
    </w:p>
    <w:p w14:paraId="3B44DD5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配置管理数据库：建立并动态维护服务范围内所有资产的配置项及其关系。</w:t>
      </w:r>
    </w:p>
    <w:p w14:paraId="61A0D72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知识库管理：沉淀故障解决方案、操作手册，促进知识共享与复用。</w:t>
      </w:r>
    </w:p>
    <w:p w14:paraId="04D4515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备件管理：实现备件库存、申领、更换的线上流程管理。</w:t>
      </w:r>
    </w:p>
    <w:p w14:paraId="7052BA6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报表统计：自动生成服务量、SLA达成率、故障趋势等各类服务报表。</w:t>
      </w:r>
    </w:p>
    <w:p w14:paraId="3EC4721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4775"/>
      <w:r>
        <w:rPr>
          <w:rFonts w:hint="default"/>
          <w:lang w:val="en-US" w:eastAsia="zh-CN"/>
        </w:rPr>
        <w:t>资产全生命周期管理</w:t>
      </w:r>
      <w:bookmarkEnd w:id="10"/>
    </w:p>
    <w:p w14:paraId="14BB796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在进驻后15个工作日内完成首次资产普查，建立详尽的资产配置库。每季度进行资产复审与信息更新，确保账实相符，为运维决策提供准确数据支持。</w:t>
      </w:r>
    </w:p>
    <w:p w14:paraId="37CB551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18347"/>
      <w:r>
        <w:rPr>
          <w:rFonts w:hint="default"/>
          <w:lang w:val="en-US" w:eastAsia="zh-CN"/>
        </w:rPr>
        <w:t>服务响应与故障处理</w:t>
      </w:r>
      <w:bookmarkEnd w:id="11"/>
    </w:p>
    <w:p w14:paraId="563F4B2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响应承诺：提供7x24小时不间断服务响应。工作日内现场响应时间≤10分钟。</w:t>
      </w:r>
    </w:p>
    <w:p w14:paraId="26E698F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分级处理机制：严格遵循以下定义的故障级别与解决时限要求，确保关键业务优先恢复。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5"/>
        <w:gridCol w:w="1848"/>
        <w:gridCol w:w="1298"/>
        <w:gridCol w:w="2174"/>
        <w:gridCol w:w="1623"/>
      </w:tblGrid>
      <w:tr w14:paraId="79608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5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81920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故障级别</w:t>
            </w:r>
          </w:p>
        </w:tc>
        <w:tc>
          <w:tcPr>
            <w:tcW w:w="184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A4FD6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定义</w:t>
            </w:r>
          </w:p>
        </w:tc>
        <w:tc>
          <w:tcPr>
            <w:tcW w:w="129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92A26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响应时间</w:t>
            </w:r>
          </w:p>
        </w:tc>
        <w:tc>
          <w:tcPr>
            <w:tcW w:w="21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371A9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解决/恢复时限要求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D7B6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报告要求</w:t>
            </w:r>
          </w:p>
        </w:tc>
      </w:tr>
      <w:tr w14:paraId="63C34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E6188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一级：重大故障</w:t>
            </w:r>
          </w:p>
        </w:tc>
        <w:tc>
          <w:tcPr>
            <w:tcW w:w="184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B8FAD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系统瘫痪，核心业务中断。</w:t>
            </w:r>
          </w:p>
        </w:tc>
        <w:tc>
          <w:tcPr>
            <w:tcW w:w="129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EC140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≤20分钟</w:t>
            </w:r>
          </w:p>
        </w:tc>
        <w:tc>
          <w:tcPr>
            <w:tcW w:w="21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3DDDD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2小时内恢复核心业务，24小时内彻底解决。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18410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24小时内提交详细故障分析报告。</w:t>
            </w:r>
          </w:p>
        </w:tc>
      </w:tr>
      <w:tr w14:paraId="0C077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F3F09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二级：严重故障</w:t>
            </w:r>
          </w:p>
        </w:tc>
        <w:tc>
          <w:tcPr>
            <w:tcW w:w="184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FF0C9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系统性能严重下降，部分业务受影响。</w:t>
            </w:r>
          </w:p>
        </w:tc>
        <w:tc>
          <w:tcPr>
            <w:tcW w:w="129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F548A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≤30分钟</w:t>
            </w:r>
          </w:p>
        </w:tc>
        <w:tc>
          <w:tcPr>
            <w:tcW w:w="21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CD674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4小时内业务显著改善，24小时内解决。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99113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故障处理后提交事件记录。</w:t>
            </w:r>
          </w:p>
        </w:tc>
      </w:tr>
      <w:tr w14:paraId="1038F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C3F00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三级：一般故障</w:t>
            </w:r>
          </w:p>
        </w:tc>
        <w:tc>
          <w:tcPr>
            <w:tcW w:w="184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27EBB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局部功能异常，不影响核心业务。</w:t>
            </w:r>
          </w:p>
        </w:tc>
        <w:tc>
          <w:tcPr>
            <w:tcW w:w="129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C33C6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≤1小时</w:t>
            </w:r>
          </w:p>
        </w:tc>
        <w:tc>
          <w:tcPr>
            <w:tcW w:w="21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4DF42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48小时内解决。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22B3E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纳入周期性服务报告。</w:t>
            </w:r>
          </w:p>
        </w:tc>
      </w:tr>
    </w:tbl>
    <w:p w14:paraId="4885AD0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6485"/>
      <w:r>
        <w:rPr>
          <w:rFonts w:hint="default"/>
          <w:lang w:val="en-US" w:eastAsia="zh-CN"/>
        </w:rPr>
        <w:t>备品备件保障服务</w:t>
      </w:r>
      <w:bookmarkEnd w:id="12"/>
    </w:p>
    <w:p w14:paraId="51DEDCD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在甲方现场设立专属备件库，库存清单与合同承诺一致。备件均为原厂或认证渠道产品。建立严格的备件管理制度，定期盘点与测试，确保紧急情况下可即时启用。</w:t>
      </w:r>
    </w:p>
    <w:p w14:paraId="4B8C86D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32325"/>
      <w:r>
        <w:rPr>
          <w:rFonts w:hint="default"/>
          <w:lang w:val="en-US" w:eastAsia="zh-CN"/>
        </w:rPr>
        <w:t>系统优化与改善服务</w:t>
      </w:r>
      <w:bookmarkEnd w:id="13"/>
    </w:p>
    <w:p w14:paraId="635D721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提供主动式性能监控与优化服务，包括但不限于：系统资源使用分析、数据库性能调优、应用响应时间优化、架构改进建议等，每季度提供系统性能评估与优化建议报告。</w:t>
      </w:r>
    </w:p>
    <w:p w14:paraId="3C3F011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产化适配服务：我方确认并承诺履行合同第五条第(3)款之约定。如甲方在项目上线前或质量保证期内提出书面国产化适配要求，乙方将依据国家或地方的相关信创技术标准与要求，免费提供系统适配改造服务，以确保系统能在指定的国产化软硬件环境中稳定运行。</w:t>
      </w:r>
    </w:p>
    <w:p w14:paraId="11082C2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15072"/>
      <w:r>
        <w:rPr>
          <w:rFonts w:hint="default"/>
          <w:lang w:val="en-US" w:eastAsia="zh-CN"/>
        </w:rPr>
        <w:t>数据管理与备份服务</w:t>
      </w:r>
      <w:bookmarkEnd w:id="14"/>
    </w:p>
    <w:p w14:paraId="53670C4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协助甲方制定并执行数据备份策略，定期验证备份数据的有效性与可恢复性。提供数据归档、清理（老化）建议，确保数据安全与存储空间合理利用。</w:t>
      </w:r>
    </w:p>
    <w:p w14:paraId="45C7633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5951"/>
      <w:r>
        <w:rPr>
          <w:rFonts w:hint="default"/>
          <w:lang w:val="en-US" w:eastAsia="zh-CN"/>
        </w:rPr>
        <w:t>应急响应与事故运维</w:t>
      </w:r>
      <w:bookmarkEnd w:id="15"/>
    </w:p>
    <w:p w14:paraId="2A960E6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制定并维护针对不同场景的《系统应急响应预案》。定期组织演练，确保在发生重大故障或安全事件时，能迅速启动预案，协同各方资源，最大限度减少损失。</w:t>
      </w:r>
    </w:p>
    <w:p w14:paraId="16AC04C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3646"/>
      <w:r>
        <w:rPr>
          <w:rFonts w:hint="default"/>
          <w:lang w:val="en-US" w:eastAsia="zh-CN"/>
        </w:rPr>
        <w:t>服务交付管理体系</w:t>
      </w:r>
      <w:bookmarkEnd w:id="16"/>
    </w:p>
    <w:p w14:paraId="7995ADED">
      <w:pPr>
        <w:pStyle w:val="30"/>
        <w:bidi w:val="0"/>
        <w:rPr>
          <w:rFonts w:hint="default"/>
          <w:lang w:val="en-US" w:eastAsia="zh-CN"/>
        </w:rPr>
      </w:pPr>
      <w:bookmarkStart w:id="17" w:name="_Toc31962"/>
      <w:r>
        <w:rPr>
          <w:rFonts w:hint="default"/>
          <w:lang w:val="en-US" w:eastAsia="zh-CN"/>
        </w:rPr>
        <w:t>组织架构与人员配置</w:t>
      </w:r>
      <w:bookmarkEnd w:id="17"/>
    </w:p>
    <w:p w14:paraId="065E9BA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采用“前后端协同”的服务组织模式。前端为现场驻场团队，直接面向甲方提供服务；后端为我司二线技术专家团队（涵盖研发、架构、资深运维等角色）及质量效能部，提供深度技术支撑与独立的质量监督。</w:t>
      </w:r>
    </w:p>
    <w:p w14:paraId="373DCCE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直属关系：现场项目经理向我司“运维管理部经理”汇报，并接受“质量效能部”的过程审计。</w:t>
      </w:r>
    </w:p>
    <w:p w14:paraId="3D273F7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人员资质：所有派驻人员均符合我司《人员岗位说明书》中对应岗位的任职资格要求，并经过严格筛选与培训。</w:t>
      </w:r>
    </w:p>
    <w:p w14:paraId="46646664">
      <w:pPr>
        <w:pStyle w:val="30"/>
        <w:bidi w:val="0"/>
        <w:rPr>
          <w:rFonts w:hint="default"/>
          <w:lang w:val="en-US" w:eastAsia="zh-CN"/>
        </w:rPr>
      </w:pPr>
      <w:bookmarkStart w:id="18" w:name="_Toc3692"/>
      <w:r>
        <w:rPr>
          <w:rFonts w:hint="default"/>
          <w:lang w:val="en-US" w:eastAsia="zh-CN"/>
        </w:rPr>
        <w:t>岗位职责说明</w:t>
      </w:r>
      <w:bookmarkEnd w:id="18"/>
    </w:p>
    <w:p w14:paraId="72F6290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为确保服务交付的规范性与专业性，本项目关键岗位职责与我司标准岗位说明书高度统一：</w:t>
      </w:r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5"/>
        <w:gridCol w:w="1716"/>
        <w:gridCol w:w="5393"/>
      </w:tblGrid>
      <w:tr w14:paraId="7C267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1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172B0E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项目角色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F0ED23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对应公司岗位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800BB6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核心职责关联点</w:t>
            </w:r>
          </w:p>
        </w:tc>
      </w:tr>
      <w:tr w14:paraId="7BC0E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1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9082C1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现场项目经理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D4F1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8A4D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全生命周期项目管理、客户关系与SLA管理、资源协调、团队指导。</w:t>
            </w:r>
          </w:p>
        </w:tc>
      </w:tr>
      <w:tr w14:paraId="69176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1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889EA2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驻场运维工程师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AA69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运维工程师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291C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技术服务交付、系统监控维护、故障一线处理、技术文档编写。</w:t>
            </w:r>
          </w:p>
        </w:tc>
      </w:tr>
      <w:tr w14:paraId="62419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1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E854B6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（平台支持）服务知识专员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0736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服务知识专员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18FD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负责本项目在运维平台上沉淀的知识条目审核、分类与维护。</w:t>
            </w:r>
          </w:p>
        </w:tc>
      </w:tr>
      <w:tr w14:paraId="208E5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1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80FDB3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（后端支持）质量效能部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0303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质量管理专员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599B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独立监督本项目服务质量，执行客户满意度调查，推动服务过程改进。</w:t>
            </w:r>
          </w:p>
        </w:tc>
      </w:tr>
    </w:tbl>
    <w:p w14:paraId="3A33D23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5088139D">
      <w:pPr>
        <w:pStyle w:val="30"/>
        <w:bidi w:val="0"/>
        <w:rPr>
          <w:rFonts w:hint="default"/>
          <w:lang w:val="en-US" w:eastAsia="zh-CN"/>
        </w:rPr>
      </w:pPr>
      <w:bookmarkStart w:id="19" w:name="_Toc30962"/>
      <w:r>
        <w:rPr>
          <w:rFonts w:hint="default"/>
          <w:lang w:val="en-US" w:eastAsia="zh-CN"/>
        </w:rPr>
        <w:t>服务流程管理</w:t>
      </w:r>
      <w:bookmarkEnd w:id="19"/>
    </w:p>
    <w:p w14:paraId="393B585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依托运维管理平台，将事件管理、问题管理、变更管理、配置管理等IT服务管理流程标准化、线上化，确保每项服务工作有记录、可追踪、可度量。</w:t>
      </w:r>
    </w:p>
    <w:p w14:paraId="44B1F42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在项目实施或运维过程中提出的新增或修改需求，均须遵循合同第1.4条的约定。流程包括：需求提出、影响评估（乙方提供方案及工作量预估）、双方协商、甲方书面确认、任务实施、变更验证。未经甲方书面确认的变更需求，乙方不予执行。</w:t>
      </w:r>
    </w:p>
    <w:p w14:paraId="4511D392">
      <w:pPr>
        <w:pStyle w:val="30"/>
        <w:bidi w:val="0"/>
        <w:rPr>
          <w:rFonts w:hint="default"/>
          <w:lang w:val="en-US" w:eastAsia="zh-CN"/>
        </w:rPr>
      </w:pPr>
      <w:bookmarkStart w:id="20" w:name="_Toc30046"/>
      <w:r>
        <w:rPr>
          <w:rFonts w:hint="default"/>
          <w:lang w:val="en-US" w:eastAsia="zh-CN"/>
        </w:rPr>
        <w:t>服务质量控制</w:t>
      </w:r>
      <w:bookmarkEnd w:id="20"/>
    </w:p>
    <w:p w14:paraId="2E21BDE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SLA监控：实时监控并月度报告服务级别协议达成情况。</w:t>
      </w:r>
    </w:p>
    <w:p w14:paraId="2D5DC43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客户满意度调查：每季度进行一次正式客户满意度调研。</w:t>
      </w:r>
    </w:p>
    <w:p w14:paraId="5673BE2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内部评审：质量效能部定期对项目进行内审，检查流程符合性。</w:t>
      </w:r>
    </w:p>
    <w:p w14:paraId="3DF9BF9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管理例会：每月召开项目服务评审会，与客户沟通服务情况与改进计划。</w:t>
      </w:r>
    </w:p>
    <w:p w14:paraId="5A4836E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16138"/>
      <w:r>
        <w:rPr>
          <w:rFonts w:hint="default"/>
          <w:lang w:val="en-US" w:eastAsia="zh-CN"/>
        </w:rPr>
        <w:t>服务保障措施</w:t>
      </w:r>
      <w:bookmarkEnd w:id="21"/>
    </w:p>
    <w:p w14:paraId="7E9316C5">
      <w:pPr>
        <w:pStyle w:val="30"/>
        <w:bidi w:val="0"/>
        <w:rPr>
          <w:rFonts w:hint="default"/>
          <w:lang w:val="en-US" w:eastAsia="zh-CN"/>
        </w:rPr>
      </w:pPr>
      <w:bookmarkStart w:id="22" w:name="_Toc3174"/>
      <w:r>
        <w:rPr>
          <w:rFonts w:hint="default"/>
          <w:lang w:val="en-US" w:eastAsia="zh-CN"/>
        </w:rPr>
        <w:t>资源保障</w:t>
      </w:r>
      <w:bookmarkEnd w:id="22"/>
    </w:p>
    <w:p w14:paraId="6C6C133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确保项目所需的人力、备件、工具软件等资源充足、可用。建立针对本项目的人员备份机制与升级上报通道。</w:t>
      </w:r>
    </w:p>
    <w:p w14:paraId="4E377BB6">
      <w:pPr>
        <w:pStyle w:val="30"/>
        <w:bidi w:val="0"/>
        <w:rPr>
          <w:rFonts w:hint="default"/>
          <w:lang w:val="en-US" w:eastAsia="zh-CN"/>
        </w:rPr>
      </w:pPr>
      <w:bookmarkStart w:id="23" w:name="_Toc12195"/>
      <w:r>
        <w:rPr>
          <w:rFonts w:hint="default"/>
          <w:lang w:val="en-US" w:eastAsia="zh-CN"/>
        </w:rPr>
        <w:t>技术保障</w:t>
      </w:r>
      <w:bookmarkEnd w:id="23"/>
    </w:p>
    <w:p w14:paraId="3BE78A1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充分利用我司在人力资源管理系统领域的技术积累和专家资源，为复杂问题提供快速解决方案。定期对驻场团队进行新技术、新流程培训。</w:t>
      </w:r>
    </w:p>
    <w:p w14:paraId="68067F4F">
      <w:pPr>
        <w:pStyle w:val="30"/>
        <w:bidi w:val="0"/>
        <w:rPr>
          <w:rFonts w:hint="default"/>
          <w:lang w:val="en-US" w:eastAsia="zh-CN"/>
        </w:rPr>
      </w:pPr>
      <w:bookmarkStart w:id="24" w:name="_Toc17580"/>
      <w:r>
        <w:rPr>
          <w:rFonts w:hint="default"/>
          <w:lang w:val="en-US" w:eastAsia="zh-CN"/>
        </w:rPr>
        <w:t>保密与安全措施</w:t>
      </w:r>
      <w:bookmarkEnd w:id="24"/>
    </w:p>
    <w:p w14:paraId="4516DD8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所有服务人员入职即签订保密协议。严格遵守甲方信息安全制度，对运维操作进行审计日志记录。废旧存储介质（如硬盘）的销毁将按甲方要求处理。</w:t>
      </w:r>
    </w:p>
    <w:p w14:paraId="25F7933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26438"/>
      <w:r>
        <w:rPr>
          <w:rFonts w:hint="default"/>
          <w:lang w:val="en-US" w:eastAsia="zh-CN"/>
        </w:rPr>
        <w:t>服务交付物与报告机制</w:t>
      </w:r>
      <w:bookmarkEnd w:id="25"/>
    </w:p>
    <w:p w14:paraId="33295BD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为满足合同第五条约定的付款条件，乙方将根据项目进展，协同甲方完成以下关键交付与评审：</w:t>
      </w:r>
    </w:p>
    <w:p w14:paraId="60D2F57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日常交付物：每日/每周巡检报告、故障处理记录。</w:t>
      </w:r>
    </w:p>
    <w:p w14:paraId="07E6DCC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周期性报告：月度服务报告（含SLA达成、事件分析、工作摘要）、季度系统健康检查与性能评估报告、半年度/年度全面总结报告。</w:t>
      </w:r>
    </w:p>
    <w:p w14:paraId="2BE635F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专项报告：重大故障分析报告、应急演练总结报告、资产盘点报告。</w:t>
      </w:r>
    </w:p>
    <w:p w14:paraId="1884A7D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初验交付物：完成系统部署、核心功能测试及用户培训后，提交《系统初验报告》及相应增值税专用发票。</w:t>
      </w:r>
    </w:p>
    <w:p w14:paraId="41D98DC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终验交付物：系统试运行期满且问题关闭后，提交《系统终验报告》、《用户操作手册》、《系统部署文档》及相应增值税专用发票。</w:t>
      </w:r>
    </w:p>
    <w:p w14:paraId="3D1D083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运维及知识产权交付物：质量保证期届满后，提交《运维服务总结报告》。根据合同约定，协助甲方完成软件著作权等知识产权的申请或转移，并提供相关证明文件。·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DDB8C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0969AD"/>
    <w:rsid w:val="02437453"/>
    <w:rsid w:val="032A4C70"/>
    <w:rsid w:val="04043713"/>
    <w:rsid w:val="05263B5D"/>
    <w:rsid w:val="05AD3936"/>
    <w:rsid w:val="068203E4"/>
    <w:rsid w:val="0DB461AA"/>
    <w:rsid w:val="1399374C"/>
    <w:rsid w:val="14B22D17"/>
    <w:rsid w:val="156758B0"/>
    <w:rsid w:val="198C1D89"/>
    <w:rsid w:val="1F5666D0"/>
    <w:rsid w:val="247C6B1D"/>
    <w:rsid w:val="25C91C6F"/>
    <w:rsid w:val="267C4F33"/>
    <w:rsid w:val="26CC7C68"/>
    <w:rsid w:val="26D11723"/>
    <w:rsid w:val="274C2B57"/>
    <w:rsid w:val="27AA4F6F"/>
    <w:rsid w:val="29E90B31"/>
    <w:rsid w:val="2ACE735A"/>
    <w:rsid w:val="2C332538"/>
    <w:rsid w:val="2DC31699"/>
    <w:rsid w:val="2EA74B17"/>
    <w:rsid w:val="2F2A7C22"/>
    <w:rsid w:val="30E5751A"/>
    <w:rsid w:val="31232B7B"/>
    <w:rsid w:val="3278079C"/>
    <w:rsid w:val="32920956"/>
    <w:rsid w:val="3723420A"/>
    <w:rsid w:val="37D22C05"/>
    <w:rsid w:val="383843EC"/>
    <w:rsid w:val="3FB62E0C"/>
    <w:rsid w:val="3FE23C01"/>
    <w:rsid w:val="41A56DD6"/>
    <w:rsid w:val="4A677B24"/>
    <w:rsid w:val="4DEE2346"/>
    <w:rsid w:val="4FFD1117"/>
    <w:rsid w:val="5055041F"/>
    <w:rsid w:val="529E42FF"/>
    <w:rsid w:val="552503C0"/>
    <w:rsid w:val="5827693E"/>
    <w:rsid w:val="59305585"/>
    <w:rsid w:val="5CFC40FC"/>
    <w:rsid w:val="5E341674"/>
    <w:rsid w:val="605129B1"/>
    <w:rsid w:val="62073330"/>
    <w:rsid w:val="661324B7"/>
    <w:rsid w:val="6B00125C"/>
    <w:rsid w:val="6EF9291E"/>
    <w:rsid w:val="6F3A1760"/>
    <w:rsid w:val="708741CD"/>
    <w:rsid w:val="731A72EC"/>
    <w:rsid w:val="738642C8"/>
    <w:rsid w:val="75C86E1A"/>
    <w:rsid w:val="79297BCF"/>
    <w:rsid w:val="795409C4"/>
    <w:rsid w:val="7ADB314B"/>
    <w:rsid w:val="7F71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43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character" w:customStyle="1" w:styleId="43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3761</Words>
  <Characters>3948</Characters>
  <Lines>0</Lines>
  <Paragraphs>0</Paragraphs>
  <TotalTime>5</TotalTime>
  <ScaleCrop>false</ScaleCrop>
  <LinksUpToDate>false</LinksUpToDate>
  <CharactersWithSpaces>4311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2026-01-16T15:12:59Z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