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A041BC">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5458"/>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北京新都远景网络技术有限公司</w:t>
      </w:r>
      <w:bookmarkEnd w:id="0"/>
    </w:p>
    <w:p w14:paraId="5173E1CF">
      <w:pPr>
        <w:keepNext w:val="0"/>
        <w:keepLines w:val="0"/>
        <w:pageBreakBefore w:val="0"/>
        <w:widowControl w:val="0"/>
        <w:suppressLineNumbers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黑体" w:hAnsi="黑体" w:eastAsia="黑体" w:cs="黑体"/>
          <w:b/>
          <w:bCs/>
          <w:snapToGrid w:val="0"/>
          <w:color w:val="000000"/>
          <w:spacing w:val="-7"/>
          <w:kern w:val="0"/>
          <w:sz w:val="52"/>
          <w:szCs w:val="52"/>
          <w:lang w:val="en-US" w:eastAsia="zh-CN" w:bidi="ar-SA"/>
        </w:rPr>
      </w:pPr>
      <w:r>
        <w:rPr>
          <w:rFonts w:hint="eastAsia" w:ascii="黑体" w:hAnsi="黑体" w:eastAsia="黑体" w:cs="黑体"/>
          <w:b/>
          <w:bCs/>
          <w:snapToGrid w:val="0"/>
          <w:color w:val="000000"/>
          <w:spacing w:val="-7"/>
          <w:kern w:val="0"/>
          <w:sz w:val="52"/>
          <w:szCs w:val="52"/>
          <w:lang w:val="en-US" w:eastAsia="zh-CN" w:bidi="ar-SA"/>
        </w:rPr>
        <w:t>丰盈云人力资源服务业财一体化管理系统技术服务项目-交付报告</w:t>
      </w:r>
    </w:p>
    <w:p w14:paraId="36EDB26B">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XDYJ</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9</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3</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57A71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2BD2AAA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运维管理部</w:t>
            </w:r>
          </w:p>
        </w:tc>
        <w:tc>
          <w:tcPr>
            <w:tcW w:w="2708" w:type="dxa"/>
          </w:tcPr>
          <w:p w14:paraId="2270728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2025.11.20</w:t>
            </w:r>
          </w:p>
        </w:tc>
      </w:tr>
      <w:tr w14:paraId="2B1AF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3E7122B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647A3B0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2025.11.20</w:t>
            </w:r>
          </w:p>
        </w:tc>
      </w:tr>
      <w:tr w14:paraId="6A263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10E2670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孙玥</w:t>
            </w:r>
          </w:p>
        </w:tc>
        <w:tc>
          <w:tcPr>
            <w:tcW w:w="2708" w:type="dxa"/>
          </w:tcPr>
          <w:p w14:paraId="6778BF8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2025.11.20</w:t>
            </w:r>
          </w:p>
        </w:tc>
      </w:tr>
    </w:tbl>
    <w:p w14:paraId="5E589ADA">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7D412417">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240312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696689DB">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4527E0A9">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70A1DD46">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6596A33A">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5636D9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61995BC5">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20</w:t>
            </w:r>
          </w:p>
        </w:tc>
        <w:tc>
          <w:tcPr>
            <w:tcW w:w="919" w:type="dxa"/>
          </w:tcPr>
          <w:p w14:paraId="1104F85C">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65F66EC6">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320A26AE">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孙玥</w:t>
            </w:r>
          </w:p>
        </w:tc>
      </w:tr>
      <w:tr w14:paraId="209088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1239720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5BFB825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51F845A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1F24E86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50D643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667D847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4DE5177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62EEFD4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5F10786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14C5B3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039A55E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335458F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121FB8D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5E3ED07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29B60ACB">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2B70BAA3">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5AD332B">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_Toc5458 </w:instrText>
          </w:r>
          <w:r>
            <w:rPr>
              <w:rFonts w:hint="eastAsia" w:ascii="宋体" w:hAnsi="宋体" w:eastAsia="宋体" w:cs="宋体"/>
              <w:szCs w:val="24"/>
            </w:rPr>
            <w:fldChar w:fldCharType="separate"/>
          </w:r>
          <w:r>
            <w:rPr>
              <w:rFonts w:hint="eastAsia"/>
              <w:lang w:val="en-US" w:eastAsia="zh-CN"/>
            </w:rPr>
            <w:t>北京新都远景网络技术有限公司</w:t>
          </w:r>
          <w:r>
            <w:tab/>
          </w:r>
          <w:r>
            <w:fldChar w:fldCharType="begin"/>
          </w:r>
          <w:r>
            <w:instrText xml:space="preserve"> PAGEREF _Toc5458 \h </w:instrText>
          </w:r>
          <w:r>
            <w:fldChar w:fldCharType="separate"/>
          </w:r>
          <w:r>
            <w:t>1</w:t>
          </w:r>
          <w:r>
            <w:fldChar w:fldCharType="end"/>
          </w:r>
          <w:r>
            <w:rPr>
              <w:rFonts w:hint="eastAsia" w:ascii="宋体" w:hAnsi="宋体" w:eastAsia="宋体" w:cs="宋体"/>
              <w:szCs w:val="24"/>
            </w:rPr>
            <w:fldChar w:fldCharType="end"/>
          </w:r>
        </w:p>
        <w:p w14:paraId="12CB157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_Toc5478 </w:instrText>
          </w:r>
          <w:r>
            <w:rPr>
              <w:rFonts w:hint="eastAsia" w:ascii="宋体" w:hAnsi="宋体" w:eastAsia="宋体" w:cs="宋体"/>
              <w:szCs w:val="24"/>
            </w:rPr>
            <w:fldChar w:fldCharType="separate"/>
          </w:r>
          <w:r>
            <w:rPr>
              <w:rFonts w:hint="default"/>
              <w:lang w:val="en-US" w:eastAsia="zh-CN"/>
            </w:rPr>
            <w:t>1. 项目概述</w:t>
          </w:r>
          <w:r>
            <w:tab/>
          </w:r>
          <w:r>
            <w:fldChar w:fldCharType="begin"/>
          </w:r>
          <w:r>
            <w:instrText xml:space="preserve"> PAGEREF _Toc5478 \h </w:instrText>
          </w:r>
          <w:r>
            <w:fldChar w:fldCharType="separate"/>
          </w:r>
          <w:r>
            <w:t>4</w:t>
          </w:r>
          <w:r>
            <w:fldChar w:fldCharType="end"/>
          </w:r>
          <w:r>
            <w:rPr>
              <w:rFonts w:hint="eastAsia" w:ascii="宋体" w:hAnsi="宋体" w:eastAsia="宋体" w:cs="宋体"/>
              <w:szCs w:val="24"/>
            </w:rPr>
            <w:fldChar w:fldCharType="end"/>
          </w:r>
        </w:p>
        <w:p w14:paraId="1594758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_Toc16036 </w:instrText>
          </w:r>
          <w:r>
            <w:rPr>
              <w:rFonts w:hint="eastAsia" w:ascii="宋体" w:hAnsi="宋体" w:eastAsia="宋体" w:cs="宋体"/>
              <w:szCs w:val="24"/>
            </w:rPr>
            <w:fldChar w:fldCharType="separate"/>
          </w:r>
          <w:r>
            <w:rPr>
              <w:rFonts w:hint="default"/>
              <w:lang w:val="en-US" w:eastAsia="zh-CN"/>
            </w:rPr>
            <w:t>2. 服务目标达成情况</w:t>
          </w:r>
          <w:r>
            <w:tab/>
          </w:r>
          <w:r>
            <w:fldChar w:fldCharType="begin"/>
          </w:r>
          <w:r>
            <w:instrText xml:space="preserve"> PAGEREF _Toc16036 \h </w:instrText>
          </w:r>
          <w:r>
            <w:fldChar w:fldCharType="separate"/>
          </w:r>
          <w:r>
            <w:t>4</w:t>
          </w:r>
          <w:r>
            <w:fldChar w:fldCharType="end"/>
          </w:r>
          <w:r>
            <w:rPr>
              <w:rFonts w:hint="eastAsia" w:ascii="宋体" w:hAnsi="宋体" w:eastAsia="宋体" w:cs="宋体"/>
              <w:szCs w:val="24"/>
            </w:rPr>
            <w:fldChar w:fldCharType="end"/>
          </w:r>
        </w:p>
        <w:p w14:paraId="43ACFFE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_Toc12586 </w:instrText>
          </w:r>
          <w:r>
            <w:rPr>
              <w:rFonts w:hint="eastAsia" w:ascii="宋体" w:hAnsi="宋体" w:eastAsia="宋体" w:cs="宋体"/>
              <w:szCs w:val="24"/>
            </w:rPr>
            <w:fldChar w:fldCharType="separate"/>
          </w:r>
          <w:r>
            <w:rPr>
              <w:rFonts w:hint="default"/>
              <w:lang w:val="en-US" w:eastAsia="zh-CN"/>
            </w:rPr>
            <w:t>3. 服务交付内容总结</w:t>
          </w:r>
          <w:r>
            <w:tab/>
          </w:r>
          <w:r>
            <w:fldChar w:fldCharType="begin"/>
          </w:r>
          <w:r>
            <w:instrText xml:space="preserve"> PAGEREF _Toc12586 \h </w:instrText>
          </w:r>
          <w:r>
            <w:fldChar w:fldCharType="separate"/>
          </w:r>
          <w:r>
            <w:t>4</w:t>
          </w:r>
          <w:r>
            <w:fldChar w:fldCharType="end"/>
          </w:r>
          <w:r>
            <w:rPr>
              <w:rFonts w:hint="eastAsia" w:ascii="宋体" w:hAnsi="宋体" w:eastAsia="宋体" w:cs="宋体"/>
              <w:szCs w:val="24"/>
            </w:rPr>
            <w:fldChar w:fldCharType="end"/>
          </w:r>
        </w:p>
        <w:p w14:paraId="3E4B547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_Toc3786 </w:instrText>
          </w:r>
          <w:r>
            <w:rPr>
              <w:rFonts w:hint="eastAsia" w:ascii="宋体" w:hAnsi="宋体" w:eastAsia="宋体" w:cs="宋体"/>
              <w:szCs w:val="24"/>
            </w:rPr>
            <w:fldChar w:fldCharType="separate"/>
          </w:r>
          <w:r>
            <w:rPr>
              <w:rFonts w:hint="default"/>
              <w:lang w:val="en-US" w:eastAsia="zh-CN"/>
            </w:rPr>
            <w:t>3.1. 日常运维与事件处理</w:t>
          </w:r>
          <w:r>
            <w:tab/>
          </w:r>
          <w:r>
            <w:fldChar w:fldCharType="begin"/>
          </w:r>
          <w:r>
            <w:instrText xml:space="preserve"> PAGEREF _Toc3786 \h </w:instrText>
          </w:r>
          <w:r>
            <w:fldChar w:fldCharType="separate"/>
          </w:r>
          <w:r>
            <w:t>4</w:t>
          </w:r>
          <w:r>
            <w:fldChar w:fldCharType="end"/>
          </w:r>
          <w:r>
            <w:rPr>
              <w:rFonts w:hint="eastAsia" w:ascii="宋体" w:hAnsi="宋体" w:eastAsia="宋体" w:cs="宋体"/>
              <w:szCs w:val="24"/>
            </w:rPr>
            <w:fldChar w:fldCharType="end"/>
          </w:r>
        </w:p>
        <w:p w14:paraId="485EA54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_Toc5764 </w:instrText>
          </w:r>
          <w:r>
            <w:rPr>
              <w:rFonts w:hint="eastAsia" w:ascii="宋体" w:hAnsi="宋体" w:eastAsia="宋体" w:cs="宋体"/>
              <w:szCs w:val="24"/>
            </w:rPr>
            <w:fldChar w:fldCharType="separate"/>
          </w:r>
          <w:r>
            <w:rPr>
              <w:rFonts w:hint="default"/>
              <w:lang w:val="en-US" w:eastAsia="zh-CN"/>
            </w:rPr>
            <w:t>3.2. 预防性维护工作</w:t>
          </w:r>
          <w:r>
            <w:tab/>
          </w:r>
          <w:r>
            <w:fldChar w:fldCharType="begin"/>
          </w:r>
          <w:r>
            <w:instrText xml:space="preserve"> PAGEREF _Toc5764 \h </w:instrText>
          </w:r>
          <w:r>
            <w:fldChar w:fldCharType="separate"/>
          </w:r>
          <w:r>
            <w:t>5</w:t>
          </w:r>
          <w:r>
            <w:fldChar w:fldCharType="end"/>
          </w:r>
          <w:r>
            <w:rPr>
              <w:rFonts w:hint="eastAsia" w:ascii="宋体" w:hAnsi="宋体" w:eastAsia="宋体" w:cs="宋体"/>
              <w:szCs w:val="24"/>
            </w:rPr>
            <w:fldChar w:fldCharType="end"/>
          </w:r>
        </w:p>
        <w:p w14:paraId="33334C8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_Toc7419 </w:instrText>
          </w:r>
          <w:r>
            <w:rPr>
              <w:rFonts w:hint="eastAsia" w:ascii="宋体" w:hAnsi="宋体" w:eastAsia="宋体" w:cs="宋体"/>
              <w:szCs w:val="24"/>
            </w:rPr>
            <w:fldChar w:fldCharType="separate"/>
          </w:r>
          <w:r>
            <w:rPr>
              <w:rFonts w:hint="default"/>
              <w:lang w:val="en-US" w:eastAsia="zh-CN"/>
            </w:rPr>
            <w:t>3.3. 资产、数据与知识管理</w:t>
          </w:r>
          <w:r>
            <w:tab/>
          </w:r>
          <w:r>
            <w:fldChar w:fldCharType="begin"/>
          </w:r>
          <w:r>
            <w:instrText xml:space="preserve"> PAGEREF _Toc7419 \h </w:instrText>
          </w:r>
          <w:r>
            <w:fldChar w:fldCharType="separate"/>
          </w:r>
          <w:r>
            <w:t>5</w:t>
          </w:r>
          <w:r>
            <w:fldChar w:fldCharType="end"/>
          </w:r>
          <w:r>
            <w:rPr>
              <w:rFonts w:hint="eastAsia" w:ascii="宋体" w:hAnsi="宋体" w:eastAsia="宋体" w:cs="宋体"/>
              <w:szCs w:val="24"/>
            </w:rPr>
            <w:fldChar w:fldCharType="end"/>
          </w:r>
        </w:p>
        <w:p w14:paraId="7D9486B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_Toc29272 </w:instrText>
          </w:r>
          <w:r>
            <w:rPr>
              <w:rFonts w:hint="eastAsia" w:ascii="宋体" w:hAnsi="宋体" w:eastAsia="宋体" w:cs="宋体"/>
              <w:szCs w:val="24"/>
            </w:rPr>
            <w:fldChar w:fldCharType="separate"/>
          </w:r>
          <w:r>
            <w:rPr>
              <w:rFonts w:hint="default"/>
              <w:lang w:val="en-US" w:eastAsia="zh-CN"/>
            </w:rPr>
            <w:t>4. 服务交付管理体系运行情况</w:t>
          </w:r>
          <w:r>
            <w:tab/>
          </w:r>
          <w:r>
            <w:fldChar w:fldCharType="begin"/>
          </w:r>
          <w:r>
            <w:instrText xml:space="preserve"> PAGEREF _Toc29272 \h </w:instrText>
          </w:r>
          <w:r>
            <w:fldChar w:fldCharType="separate"/>
          </w:r>
          <w:r>
            <w:t>5</w:t>
          </w:r>
          <w:r>
            <w:fldChar w:fldCharType="end"/>
          </w:r>
          <w:r>
            <w:rPr>
              <w:rFonts w:hint="eastAsia" w:ascii="宋体" w:hAnsi="宋体" w:eastAsia="宋体" w:cs="宋体"/>
              <w:szCs w:val="24"/>
            </w:rPr>
            <w:fldChar w:fldCharType="end"/>
          </w:r>
        </w:p>
        <w:p w14:paraId="402E25A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_Toc13034 </w:instrText>
          </w:r>
          <w:r>
            <w:rPr>
              <w:rFonts w:hint="eastAsia" w:ascii="宋体" w:hAnsi="宋体" w:eastAsia="宋体" w:cs="宋体"/>
              <w:szCs w:val="24"/>
            </w:rPr>
            <w:fldChar w:fldCharType="separate"/>
          </w:r>
          <w:r>
            <w:rPr>
              <w:rFonts w:hint="default"/>
              <w:lang w:val="en-US" w:eastAsia="zh-CN"/>
            </w:rPr>
            <w:t>5. 持续改进与价值提升</w:t>
          </w:r>
          <w:r>
            <w:tab/>
          </w:r>
          <w:r>
            <w:fldChar w:fldCharType="begin"/>
          </w:r>
          <w:r>
            <w:instrText xml:space="preserve"> PAGEREF _Toc13034 \h </w:instrText>
          </w:r>
          <w:r>
            <w:fldChar w:fldCharType="separate"/>
          </w:r>
          <w:r>
            <w:t>6</w:t>
          </w:r>
          <w:r>
            <w:fldChar w:fldCharType="end"/>
          </w:r>
          <w:r>
            <w:rPr>
              <w:rFonts w:hint="eastAsia" w:ascii="宋体" w:hAnsi="宋体" w:eastAsia="宋体" w:cs="宋体"/>
              <w:szCs w:val="24"/>
            </w:rPr>
            <w:fldChar w:fldCharType="end"/>
          </w:r>
        </w:p>
        <w:p w14:paraId="23B1641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_Toc32356 </w:instrText>
          </w:r>
          <w:r>
            <w:rPr>
              <w:rFonts w:hint="eastAsia" w:ascii="宋体" w:hAnsi="宋体" w:eastAsia="宋体" w:cs="宋体"/>
              <w:szCs w:val="24"/>
            </w:rPr>
            <w:fldChar w:fldCharType="separate"/>
          </w:r>
          <w:r>
            <w:rPr>
              <w:rFonts w:hint="default"/>
              <w:lang w:val="en-US" w:eastAsia="zh-CN"/>
            </w:rPr>
            <w:t>6. 存在的问题与后续建议</w:t>
          </w:r>
          <w:r>
            <w:tab/>
          </w:r>
          <w:r>
            <w:fldChar w:fldCharType="begin"/>
          </w:r>
          <w:r>
            <w:instrText xml:space="preserve"> PAGEREF _Toc32356 \h </w:instrText>
          </w:r>
          <w:r>
            <w:fldChar w:fldCharType="separate"/>
          </w:r>
          <w:r>
            <w:t>6</w:t>
          </w:r>
          <w:r>
            <w:fldChar w:fldCharType="end"/>
          </w:r>
          <w:r>
            <w:rPr>
              <w:rFonts w:hint="eastAsia" w:ascii="宋体" w:hAnsi="宋体" w:eastAsia="宋体" w:cs="宋体"/>
              <w:szCs w:val="24"/>
            </w:rPr>
            <w:fldChar w:fldCharType="end"/>
          </w:r>
        </w:p>
        <w:p w14:paraId="42538EE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_Toc18128 </w:instrText>
          </w:r>
          <w:r>
            <w:rPr>
              <w:rFonts w:hint="eastAsia" w:ascii="宋体" w:hAnsi="宋体" w:eastAsia="宋体" w:cs="宋体"/>
              <w:szCs w:val="24"/>
            </w:rPr>
            <w:fldChar w:fldCharType="separate"/>
          </w:r>
          <w:r>
            <w:rPr>
              <w:rFonts w:hint="default"/>
              <w:lang w:val="en-US" w:eastAsia="zh-CN"/>
            </w:rPr>
            <w:t>7. 总结与感谢</w:t>
          </w:r>
          <w:r>
            <w:tab/>
          </w:r>
          <w:r>
            <w:fldChar w:fldCharType="begin"/>
          </w:r>
          <w:r>
            <w:instrText xml:space="preserve"> PAGEREF _Toc18128 \h </w:instrText>
          </w:r>
          <w:r>
            <w:fldChar w:fldCharType="separate"/>
          </w:r>
          <w:r>
            <w:t>6</w:t>
          </w:r>
          <w:r>
            <w:fldChar w:fldCharType="end"/>
          </w:r>
          <w:r>
            <w:rPr>
              <w:rFonts w:hint="eastAsia" w:ascii="宋体" w:hAnsi="宋体" w:eastAsia="宋体" w:cs="宋体"/>
              <w:szCs w:val="24"/>
            </w:rPr>
            <w:fldChar w:fldCharType="end"/>
          </w:r>
        </w:p>
        <w:p w14:paraId="14B1F03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1F2DA336">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4DE7D75">
      <w:pPr>
        <w:pStyle w:val="28"/>
        <w:bidi w:val="0"/>
        <w:rPr>
          <w:rFonts w:hint="default"/>
          <w:lang w:val="en-US" w:eastAsia="zh-CN"/>
        </w:rPr>
      </w:pPr>
      <w:bookmarkStart w:id="1" w:name="_Toc5478"/>
      <w:r>
        <w:rPr>
          <w:rFonts w:hint="default"/>
          <w:lang w:val="en-US" w:eastAsia="zh-CN"/>
        </w:rPr>
        <w:t>项目概述</w:t>
      </w:r>
      <w:bookmarkEnd w:id="1"/>
    </w:p>
    <w:p w14:paraId="3BF876A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本报告旨在对“丰盈云人力资源服务业财一体化管理系统技术服务项目”自2024年12月28日至2025年11月30日期间（即本服务年度）的服务交付情况进行全面总结、评估与回顾。</w:t>
      </w:r>
    </w:p>
    <w:p w14:paraId="1CCDE91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此期间，北京新都远景网络技术有限公司（以下简称“我方”）严格遵循与安徽益联科技有限公司（以下简称“贵方”）签订的《技术服务合同》及双方确认的《项目交付方案》，依托标准化的IT服务管理体系，组建专业驻场团队，顺利完成了各项既定运维服务工作，有效保障了系统全年的稳定、高效运行。</w:t>
      </w:r>
    </w:p>
    <w:p w14:paraId="31B338D4">
      <w:pPr>
        <w:pStyle w:val="28"/>
        <w:bidi w:val="0"/>
        <w:rPr>
          <w:rFonts w:hint="default"/>
          <w:lang w:val="en-US" w:eastAsia="zh-CN"/>
        </w:rPr>
      </w:pPr>
      <w:bookmarkStart w:id="2" w:name="_Toc16036"/>
      <w:r>
        <w:rPr>
          <w:rFonts w:hint="default"/>
          <w:lang w:val="en-US" w:eastAsia="zh-CN"/>
        </w:rPr>
        <w:t>服务目标达成情况</w:t>
      </w:r>
      <w:bookmarkEnd w:id="2"/>
    </w:p>
    <w:p w14:paraId="762DAD1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对照交付方案中确立的服务目标，本年度核心达成情况如下：</w:t>
      </w:r>
    </w:p>
    <w:tbl>
      <w:tblPr>
        <w:tblStyle w:val="20"/>
        <w:tblW w:w="90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249"/>
        <w:gridCol w:w="6775"/>
      </w:tblGrid>
      <w:tr w14:paraId="043CF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rPr>
        <w:tc>
          <w:tcPr>
            <w:tcW w:w="0" w:type="auto"/>
            <w:shd w:val="clear" w:color="auto" w:fill="auto"/>
            <w:tcMar>
              <w:top w:w="120" w:type="dxa"/>
              <w:left w:w="0" w:type="dxa"/>
              <w:bottom w:w="120" w:type="dxa"/>
              <w:right w:w="192" w:type="dxa"/>
            </w:tcMar>
            <w:vAlign w:val="center"/>
          </w:tcPr>
          <w:p w14:paraId="4659D781">
            <w:pPr>
              <w:keepNext w:val="0"/>
              <w:keepLines w:val="0"/>
              <w:widowControl/>
              <w:suppressLineNumbers w:val="0"/>
              <w:spacing w:line="300" w:lineRule="atLeast"/>
              <w:ind w:left="0" w:leftChars="0" w:right="0" w:rightChars="0" w:firstLine="0" w:firstLineChars="0"/>
              <w:jc w:val="center"/>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服务目标</w:t>
            </w:r>
          </w:p>
        </w:tc>
        <w:tc>
          <w:tcPr>
            <w:tcW w:w="0" w:type="auto"/>
            <w:shd w:val="clear" w:color="auto" w:fill="auto"/>
            <w:tcMar>
              <w:top w:w="120" w:type="dxa"/>
              <w:left w:w="192" w:type="dxa"/>
              <w:bottom w:w="120" w:type="dxa"/>
              <w:right w:w="192" w:type="dxa"/>
            </w:tcMar>
            <w:vAlign w:val="center"/>
          </w:tcPr>
          <w:p w14:paraId="49F4408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本年度达成情况概述</w:t>
            </w:r>
          </w:p>
        </w:tc>
      </w:tr>
      <w:tr w14:paraId="3245C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64B16CFE">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“三包”承诺（包运行、包维护、包管理）</w:t>
            </w:r>
          </w:p>
        </w:tc>
        <w:tc>
          <w:tcPr>
            <w:tcW w:w="0" w:type="auto"/>
            <w:shd w:val="clear" w:color="auto" w:fill="auto"/>
            <w:tcMar>
              <w:top w:w="120" w:type="dxa"/>
              <w:left w:w="192" w:type="dxa"/>
              <w:bottom w:w="120" w:type="dxa"/>
              <w:right w:w="0" w:type="dxa"/>
            </w:tcMar>
            <w:vAlign w:val="center"/>
          </w:tcPr>
          <w:p w14:paraId="595816A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系统全年运行平稳，未发生因我方运维责任导致的系统性服务中断。圆满完成所有计划内维护及应急故障处理，管理体系运作有效。</w:t>
            </w:r>
          </w:p>
        </w:tc>
      </w:tr>
      <w:tr w14:paraId="5C065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2BC57D94">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高可用性保障（及时、准确、稳定）</w:t>
            </w:r>
          </w:p>
        </w:tc>
        <w:tc>
          <w:tcPr>
            <w:tcW w:w="0" w:type="auto"/>
            <w:shd w:val="clear" w:color="auto" w:fill="auto"/>
            <w:tcMar>
              <w:top w:w="120" w:type="dxa"/>
              <w:left w:w="192" w:type="dxa"/>
              <w:bottom w:w="120" w:type="dxa"/>
              <w:right w:w="0" w:type="dxa"/>
            </w:tcMar>
            <w:vAlign w:val="center"/>
          </w:tcPr>
          <w:p w14:paraId="5DB1165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所有服务请求均得到及时响应与处理。通过主动监控与定期巡检，系统运行稳定性符合预期，核心业务可用性得到充分保障。</w:t>
            </w:r>
          </w:p>
        </w:tc>
      </w:tr>
      <w:tr w14:paraId="30925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21600063">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硬件完好性</w:t>
            </w:r>
          </w:p>
        </w:tc>
        <w:tc>
          <w:tcPr>
            <w:tcW w:w="0" w:type="auto"/>
            <w:shd w:val="clear" w:color="auto" w:fill="auto"/>
            <w:tcMar>
              <w:top w:w="120" w:type="dxa"/>
              <w:left w:w="192" w:type="dxa"/>
              <w:bottom w:w="120" w:type="dxa"/>
              <w:right w:w="0" w:type="dxa"/>
            </w:tcMar>
            <w:vAlign w:val="center"/>
          </w:tcPr>
          <w:p w14:paraId="18A90D3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所有在保设备均处于良好工作状态。对于发生的硬件故障，均通过备件库或紧急采购渠道在规定时限内完成更换，未对业务造成持续影响。</w:t>
            </w:r>
          </w:p>
        </w:tc>
      </w:tr>
      <w:tr w14:paraId="15C8E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68ECD63C">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信息安全</w:t>
            </w:r>
          </w:p>
        </w:tc>
        <w:tc>
          <w:tcPr>
            <w:tcW w:w="0" w:type="auto"/>
            <w:shd w:val="clear" w:color="auto" w:fill="auto"/>
            <w:tcMar>
              <w:top w:w="120" w:type="dxa"/>
              <w:left w:w="192" w:type="dxa"/>
              <w:bottom w:w="120" w:type="dxa"/>
              <w:right w:w="0" w:type="dxa"/>
            </w:tcMar>
            <w:vAlign w:val="center"/>
          </w:tcPr>
          <w:p w14:paraId="67AC1E5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严格遵守保密协议，所有运维人员均已签署保密承诺。运维操作流程规范，全年未发生任何信息泄露事件。</w:t>
            </w:r>
          </w:p>
        </w:tc>
      </w:tr>
    </w:tbl>
    <w:p w14:paraId="4F9C60A2">
      <w:pPr>
        <w:pStyle w:val="29"/>
        <w:bidi w:val="0"/>
        <w:rPr>
          <w:rFonts w:hint="default"/>
          <w:lang w:val="en-US" w:eastAsia="zh-CN"/>
        </w:rPr>
      </w:pPr>
    </w:p>
    <w:p w14:paraId="26F1FE3E">
      <w:pPr>
        <w:pStyle w:val="28"/>
        <w:bidi w:val="0"/>
        <w:rPr>
          <w:rFonts w:hint="default"/>
          <w:lang w:val="en-US" w:eastAsia="zh-CN"/>
        </w:rPr>
      </w:pPr>
      <w:bookmarkStart w:id="3" w:name="_Toc12586"/>
      <w:r>
        <w:rPr>
          <w:rFonts w:hint="default"/>
          <w:lang w:val="en-US" w:eastAsia="zh-CN"/>
        </w:rPr>
        <w:t>服务交付内容总结</w:t>
      </w:r>
      <w:bookmarkEnd w:id="3"/>
    </w:p>
    <w:p w14:paraId="3DAE822E">
      <w:pPr>
        <w:pStyle w:val="30"/>
        <w:bidi w:val="0"/>
        <w:rPr>
          <w:rFonts w:hint="default"/>
          <w:lang w:val="en-US" w:eastAsia="zh-CN"/>
        </w:rPr>
      </w:pPr>
      <w:bookmarkStart w:id="4" w:name="_Toc3786"/>
      <w:r>
        <w:rPr>
          <w:rFonts w:hint="default"/>
          <w:lang w:val="en-US" w:eastAsia="zh-CN"/>
        </w:rPr>
        <w:t>日常运维与事件处理</w:t>
      </w:r>
      <w:bookmarkEnd w:id="4"/>
    </w:p>
    <w:p w14:paraId="5E57B52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服务台运营：持续提供7x8小时现场支持及7x24小时电话支持，服务请求受理渠道全年保持畅通。</w:t>
      </w:r>
    </w:p>
    <w:p w14:paraId="7A49C80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故障处理：全年累计有效处理并关闭各类设备及应用故障XX次（注：请根据实际数据更新），所有故障均按照既定的分级响应流程在规定时限内解决，未造成重大业务影响。一、二级故障解决平均用时优于SLA要求。</w:t>
      </w:r>
    </w:p>
    <w:p w14:paraId="54C92CA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变更与部署：顺利完成所有由贵方发起的网络点位变更、系统配置调整等变更管理工作。</w:t>
      </w:r>
    </w:p>
    <w:p w14:paraId="3C080388">
      <w:pPr>
        <w:pStyle w:val="30"/>
        <w:bidi w:val="0"/>
        <w:rPr>
          <w:rFonts w:hint="default"/>
          <w:lang w:val="en-US" w:eastAsia="zh-CN"/>
        </w:rPr>
      </w:pPr>
      <w:bookmarkStart w:id="5" w:name="_Toc5764"/>
      <w:r>
        <w:rPr>
          <w:rFonts w:hint="default"/>
          <w:lang w:val="en-US" w:eastAsia="zh-CN"/>
        </w:rPr>
        <w:t>预防性维护工作</w:t>
      </w:r>
      <w:bookmarkEnd w:id="5"/>
    </w:p>
    <w:p w14:paraId="4906E84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按计划高标准执行了多层次、周期性的预防性维护工作，是系统稳定运行的重要基础：</w:t>
      </w:r>
    </w:p>
    <w:p w14:paraId="45D4A89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周巡检：全年累计完成50次，重点检查服务器、存储、网络设备及核心应用运行状态。</w:t>
      </w:r>
    </w:p>
    <w:p w14:paraId="3D9F604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月巡检：全年累计完成11次，对桌面硬件、网络连接等进行全面现场检查。</w:t>
      </w:r>
    </w:p>
    <w:p w14:paraId="0538190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季度巡检：全年累计完成3次，对网络系统、综合布线等进行了深度检查与性能评估。</w:t>
      </w:r>
    </w:p>
    <w:p w14:paraId="3C98A00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专项保障：在重大业务活动前均执行特别巡检，全年累计完成XXX次（注：请根据实际数据更新）重大活动值守及系统联调支持，有力保障了关键业务的连续性。</w:t>
      </w:r>
    </w:p>
    <w:p w14:paraId="1E856DF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设备除尘：按计划完成两次全设备集中除尘清洁工作，保障了设备散热与运行环境。</w:t>
      </w:r>
    </w:p>
    <w:p w14:paraId="7D3C219A">
      <w:pPr>
        <w:pStyle w:val="30"/>
        <w:bidi w:val="0"/>
        <w:rPr>
          <w:rFonts w:hint="default"/>
          <w:lang w:val="en-US" w:eastAsia="zh-CN"/>
        </w:rPr>
      </w:pPr>
      <w:bookmarkStart w:id="6" w:name="_Toc7419"/>
      <w:r>
        <w:rPr>
          <w:rFonts w:hint="default"/>
          <w:lang w:val="en-US" w:eastAsia="zh-CN"/>
        </w:rPr>
        <w:t>资产、数据与知识管理</w:t>
      </w:r>
      <w:bookmarkEnd w:id="6"/>
    </w:p>
    <w:p w14:paraId="521FB7F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资产管理：对服务范围内的IT资产进行了动态维护与年度盘点，资产台账准确无误。</w:t>
      </w:r>
    </w:p>
    <w:p w14:paraId="41E14C1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数据备份：严格执行每周数据库备份策略，全年备份操作完整，并定期进行恢复验证，确保数据安全可靠。</w:t>
      </w:r>
    </w:p>
    <w:p w14:paraId="7F23D57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知识管理：持续推动</w:t>
      </w:r>
      <w:r>
        <w:rPr>
          <w:rFonts w:hint="eastAsia"/>
          <w:lang w:val="en-US" w:eastAsia="zh-CN"/>
        </w:rPr>
        <w:t>服务知识</w:t>
      </w:r>
      <w:bookmarkStart w:id="11" w:name="_GoBack"/>
      <w:bookmarkEnd w:id="11"/>
      <w:r>
        <w:rPr>
          <w:rFonts w:hint="default"/>
          <w:lang w:val="en-US" w:eastAsia="zh-CN"/>
        </w:rPr>
        <w:t>的运营与更新，确保典型案例、最佳实践和操作指南得以不断积累与有效复用，为团队日常工作提供了有力支撑，赋能服务交付质量与效率的持续提升</w:t>
      </w:r>
    </w:p>
    <w:p w14:paraId="363A8DCD">
      <w:pPr>
        <w:pStyle w:val="28"/>
        <w:bidi w:val="0"/>
        <w:rPr>
          <w:rFonts w:hint="default"/>
          <w:lang w:val="en-US" w:eastAsia="zh-CN"/>
        </w:rPr>
      </w:pPr>
      <w:bookmarkStart w:id="7" w:name="_Toc29272"/>
      <w:r>
        <w:rPr>
          <w:rFonts w:hint="default"/>
          <w:lang w:val="en-US" w:eastAsia="zh-CN"/>
        </w:rPr>
        <w:t>服务交付管理体系运行情况</w:t>
      </w:r>
      <w:bookmarkEnd w:id="7"/>
    </w:p>
    <w:p w14:paraId="0CC58FC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本年度，项目严格依照交付方案中定义的服务管理体系运作，成效显著：</w:t>
      </w:r>
    </w:p>
    <w:p w14:paraId="69EBEB6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组织与人员：由1名现场项目经理和</w:t>
      </w:r>
      <w:r>
        <w:rPr>
          <w:rFonts w:hint="eastAsia"/>
          <w:lang w:val="en-US" w:eastAsia="zh-CN"/>
        </w:rPr>
        <w:t>8</w:t>
      </w:r>
      <w:r>
        <w:rPr>
          <w:rFonts w:hint="default"/>
          <w:lang w:val="en-US" w:eastAsia="zh-CN"/>
        </w:rPr>
        <w:t>名运维工程师组成的驻场团队全年稳定履职，岗位职责清晰，与公司《人员岗位说明书》要求一致。团队协作高效，A/B岗与应急响应机制经受住了实践检验。</w:t>
      </w:r>
    </w:p>
    <w:p w14:paraId="2B8AE5B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流程执行：通过运维管理平台，全面实现了事件、问题、变更、配置管理的流程化与线上化，所有服务活动可追溯、可度量。</w:t>
      </w:r>
    </w:p>
    <w:p w14:paraId="4BA219E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质量监控：服务质量持续受到公司质量效能部的独立监督。全年核心SLA达成率为100%，年度客户满意度调研结果达到优秀水平。</w:t>
      </w:r>
    </w:p>
    <w:p w14:paraId="4221AA73">
      <w:pPr>
        <w:pStyle w:val="28"/>
        <w:bidi w:val="0"/>
        <w:rPr>
          <w:rFonts w:hint="default"/>
          <w:lang w:val="en-US" w:eastAsia="zh-CN"/>
        </w:rPr>
      </w:pPr>
      <w:bookmarkStart w:id="8" w:name="_Toc13034"/>
      <w:r>
        <w:rPr>
          <w:rFonts w:hint="default"/>
          <w:lang w:val="en-US" w:eastAsia="zh-CN"/>
        </w:rPr>
        <w:t>持续改进与价值提升</w:t>
      </w:r>
      <w:bookmarkEnd w:id="8"/>
    </w:p>
    <w:p w14:paraId="37A522B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截止2025年11月</w:t>
      </w:r>
      <w:r>
        <w:rPr>
          <w:rFonts w:hint="default"/>
          <w:lang w:val="en-US" w:eastAsia="zh-CN"/>
        </w:rPr>
        <w:t>，我们不仅完成了基础运维保障，还积极推动服务改进与价值提升：</w:t>
      </w:r>
    </w:p>
    <w:p w14:paraId="63B57D9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完成了上半年制定的改进计划：包括优化了监控告警策略、开展了知识库使用宣导、丰富了服务报告内容，主动服务能力得到增强。</w:t>
      </w:r>
    </w:p>
    <w:p w14:paraId="39260EB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应急响应能力强化：组织了针对性的应急演练，验证并优化了应急预案，团队应急协同能力得到提升。</w:t>
      </w:r>
    </w:p>
    <w:p w14:paraId="58F3A3C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提供优化建议：结合年度巡检与性能监控数据，向贵方提交了系统性能优化与架构改进的若干建议，为未来系统演进提供了参考。</w:t>
      </w:r>
    </w:p>
    <w:p w14:paraId="1FAA22C7">
      <w:pPr>
        <w:pStyle w:val="28"/>
        <w:bidi w:val="0"/>
        <w:rPr>
          <w:rFonts w:hint="default"/>
          <w:lang w:val="en-US" w:eastAsia="zh-CN"/>
        </w:rPr>
      </w:pPr>
      <w:bookmarkStart w:id="9" w:name="_Toc32356"/>
      <w:r>
        <w:rPr>
          <w:rFonts w:hint="default"/>
          <w:lang w:val="en-US" w:eastAsia="zh-CN"/>
        </w:rPr>
        <w:t>存在的问题与后续建议</w:t>
      </w:r>
      <w:bookmarkEnd w:id="9"/>
    </w:p>
    <w:p w14:paraId="7D5540C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尽管本年度服务目标全面达成，我们仍保持反思，以追求卓越：</w:t>
      </w:r>
    </w:p>
    <w:p w14:paraId="2AB1F69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建议：随着业务发展，可考虑进一步深化应用性能管理监控，以便更精准地关联业务体验与系统性能。我方可在后续服务中提供相关方案供探讨。</w:t>
      </w:r>
    </w:p>
    <w:p w14:paraId="58487F1F">
      <w:pPr>
        <w:pStyle w:val="28"/>
        <w:bidi w:val="0"/>
        <w:rPr>
          <w:rFonts w:hint="default"/>
          <w:lang w:val="en-US" w:eastAsia="zh-CN"/>
        </w:rPr>
      </w:pPr>
      <w:bookmarkStart w:id="10" w:name="_Toc18128"/>
      <w:r>
        <w:rPr>
          <w:rFonts w:hint="default"/>
          <w:lang w:val="en-US" w:eastAsia="zh-CN"/>
        </w:rPr>
        <w:t>总结与感谢</w:t>
      </w:r>
      <w:bookmarkEnd w:id="10"/>
    </w:p>
    <w:p w14:paraId="132593F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在贵方的大力支持、信任与紧密协作下，丰盈云人力资源服务业财一体化管理系统保持了全年安全、稳定、高效的运行状态，各项运维服务工作均按合同与方案要求圆满完成，服务价值得到了有效体现。</w:t>
      </w:r>
    </w:p>
    <w:p w14:paraId="2C3A798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我方衷心感谢贵方项目团队在整个服务周期内的专业配合与宝贵支持。本次成功的合作充分证明了我们双方团队的能力与默契。</w:t>
      </w:r>
    </w:p>
    <w:p w14:paraId="2BE635F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运维服务期即将届满，我们已做好各项收尾与交接准备，确保服务平稳过渡。期待未来能有更多机会为贵方提供优质的IT技术服务。</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DDB8C">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437453"/>
    <w:rsid w:val="05263B5D"/>
    <w:rsid w:val="05AD3936"/>
    <w:rsid w:val="0DB461AA"/>
    <w:rsid w:val="10BA45BD"/>
    <w:rsid w:val="12571460"/>
    <w:rsid w:val="1399374C"/>
    <w:rsid w:val="14B22D17"/>
    <w:rsid w:val="198C1D89"/>
    <w:rsid w:val="267C4F33"/>
    <w:rsid w:val="26CC7C68"/>
    <w:rsid w:val="27AA4F6F"/>
    <w:rsid w:val="29E90B31"/>
    <w:rsid w:val="2DC31699"/>
    <w:rsid w:val="3278079C"/>
    <w:rsid w:val="344A6670"/>
    <w:rsid w:val="37D22C05"/>
    <w:rsid w:val="383843EC"/>
    <w:rsid w:val="3CCC7265"/>
    <w:rsid w:val="3F8309DB"/>
    <w:rsid w:val="3FB62E0C"/>
    <w:rsid w:val="3FE23C01"/>
    <w:rsid w:val="41A56DD6"/>
    <w:rsid w:val="4F647EBE"/>
    <w:rsid w:val="4FFD1117"/>
    <w:rsid w:val="59305585"/>
    <w:rsid w:val="5C585E3D"/>
    <w:rsid w:val="5CFC40FC"/>
    <w:rsid w:val="605129B1"/>
    <w:rsid w:val="62073330"/>
    <w:rsid w:val="661324B7"/>
    <w:rsid w:val="66567D19"/>
    <w:rsid w:val="6EF9291E"/>
    <w:rsid w:val="6F3A1760"/>
    <w:rsid w:val="708741CD"/>
    <w:rsid w:val="738642C8"/>
    <w:rsid w:val="79297BCF"/>
    <w:rsid w:val="795409C4"/>
    <w:rsid w:val="7ADB314B"/>
    <w:rsid w:val="7CC456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43"/>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character" w:customStyle="1" w:styleId="43">
    <w:name w:val="柴_标题3 Char"/>
    <w:link w:val="31"/>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2118</Words>
  <Characters>2230</Characters>
  <Lines>0</Lines>
  <Paragraphs>0</Paragraphs>
  <TotalTime>3</TotalTime>
  <ScaleCrop>false</ScaleCrop>
  <LinksUpToDate>false</LinksUpToDate>
  <CharactersWithSpaces>2273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2026-01-14T22:48:33Z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