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28E755">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0216"/>
      <w:bookmarkStart w:id="10" w:name="_GoBack"/>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8">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北京新都远景网络技术有限公司</w:t>
      </w:r>
      <w:bookmarkEnd w:id="0"/>
    </w:p>
    <w:p w14:paraId="66BA8928">
      <w:pPr>
        <w:keepNext w:val="0"/>
        <w:keepLines w:val="0"/>
        <w:pageBreakBefore w:val="0"/>
        <w:widowControl w:val="0"/>
        <w:suppressLineNumbers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ascii="黑体" w:hAnsi="黑体" w:eastAsia="黑体" w:cs="黑体"/>
          <w:b/>
          <w:bCs/>
          <w:snapToGrid w:val="0"/>
          <w:color w:val="000000"/>
          <w:spacing w:val="-7"/>
          <w:kern w:val="0"/>
          <w:sz w:val="52"/>
          <w:szCs w:val="52"/>
          <w:lang w:val="en-US" w:eastAsia="zh-CN" w:bidi="ar-SA"/>
        </w:rPr>
      </w:pPr>
      <w:r>
        <w:rPr>
          <w:rFonts w:hint="default" w:ascii="黑体" w:hAnsi="黑体" w:eastAsia="黑体" w:cs="黑体"/>
          <w:b/>
          <w:bCs/>
          <w:snapToGrid w:val="0"/>
          <w:color w:val="000000"/>
          <w:spacing w:val="-7"/>
          <w:kern w:val="0"/>
          <w:sz w:val="52"/>
          <w:szCs w:val="52"/>
          <w:lang w:val="en-US" w:eastAsia="zh-CN" w:bidi="ar-SA"/>
        </w:rPr>
        <w:t>丰盈云人力资源服务业财一体化管理系统技术服务项目</w:t>
      </w:r>
      <w:r>
        <w:rPr>
          <w:rFonts w:hint="eastAsia" w:ascii="黑体" w:hAnsi="黑体" w:eastAsia="黑体" w:cs="黑体"/>
          <w:b/>
          <w:bCs/>
          <w:snapToGrid w:val="0"/>
          <w:color w:val="000000"/>
          <w:spacing w:val="-7"/>
          <w:kern w:val="0"/>
          <w:sz w:val="52"/>
          <w:szCs w:val="52"/>
          <w:lang w:val="en-US" w:eastAsia="zh-CN" w:bidi="ar-SA"/>
        </w:rPr>
        <w:t>-总结报告</w:t>
      </w:r>
    </w:p>
    <w:p w14:paraId="060289FA">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XDYJ</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9</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5</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294F89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32FAB1E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运维管理部</w:t>
            </w:r>
          </w:p>
        </w:tc>
        <w:tc>
          <w:tcPr>
            <w:tcW w:w="2708" w:type="dxa"/>
          </w:tcPr>
          <w:p w14:paraId="41975AB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2025.11.30</w:t>
            </w:r>
          </w:p>
        </w:tc>
      </w:tr>
      <w:tr w14:paraId="32818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29D9C96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40E073D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2025.11.30</w:t>
            </w:r>
          </w:p>
        </w:tc>
      </w:tr>
      <w:tr w14:paraId="19FB0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74CD4A4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孙玥</w:t>
            </w:r>
          </w:p>
        </w:tc>
        <w:tc>
          <w:tcPr>
            <w:tcW w:w="2708" w:type="dxa"/>
          </w:tcPr>
          <w:p w14:paraId="23169B8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2025.11.20</w:t>
            </w:r>
          </w:p>
        </w:tc>
      </w:tr>
    </w:tbl>
    <w:p w14:paraId="7BDFCFB1">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746C0A76">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64CF0A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36A40A78">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1B53BF60">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54021701">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33590EC9">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04FFD9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4D13B7CC">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2025.11.</w:t>
            </w:r>
            <w:r>
              <w:rPr>
                <w:rFonts w:hint="eastAsia" w:ascii="宋体" w:hAnsi="宋体" w:cs="宋体"/>
                <w:spacing w:val="3"/>
                <w:position w:val="1"/>
                <w:sz w:val="20"/>
                <w:szCs w:val="20"/>
                <w:lang w:val="en-US" w:eastAsia="zh-CN"/>
              </w:rPr>
              <w:t>30</w:t>
            </w:r>
          </w:p>
        </w:tc>
        <w:tc>
          <w:tcPr>
            <w:tcW w:w="919" w:type="dxa"/>
          </w:tcPr>
          <w:p w14:paraId="4810A3A5">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01F068A5">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61B9969C">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孙玥</w:t>
            </w:r>
          </w:p>
        </w:tc>
      </w:tr>
      <w:tr w14:paraId="5AF64D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6C62E00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2AE0360F">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7B6C051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2F15C86C">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6932F4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79C11C5F">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7397CD2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15724BFF">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0FDCCD9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2781DB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166A35A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46F0613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7E779E5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14153DA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4469BD0D">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2EFD8EBE">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5C98538C">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_Toc10216 </w:instrText>
          </w:r>
          <w:r>
            <w:rPr>
              <w:rFonts w:hint="eastAsia" w:ascii="宋体" w:hAnsi="宋体" w:eastAsia="宋体" w:cs="宋体"/>
              <w:szCs w:val="24"/>
            </w:rPr>
            <w:fldChar w:fldCharType="separate"/>
          </w:r>
          <w:r>
            <w:rPr>
              <w:rFonts w:hint="eastAsia"/>
              <w:lang w:val="en-US" w:eastAsia="zh-CN"/>
            </w:rPr>
            <w:t>北京新都远景网络技术有限公司</w:t>
          </w:r>
          <w:r>
            <w:tab/>
          </w:r>
          <w:r>
            <w:fldChar w:fldCharType="begin"/>
          </w:r>
          <w:r>
            <w:instrText xml:space="preserve"> PAGEREF _Toc10216 \h </w:instrText>
          </w:r>
          <w:r>
            <w:fldChar w:fldCharType="separate"/>
          </w:r>
          <w:r>
            <w:t>1</w:t>
          </w:r>
          <w:r>
            <w:fldChar w:fldCharType="end"/>
          </w:r>
          <w:r>
            <w:rPr>
              <w:rFonts w:hint="eastAsia" w:ascii="宋体" w:hAnsi="宋体" w:eastAsia="宋体" w:cs="宋体"/>
              <w:szCs w:val="24"/>
            </w:rPr>
            <w:fldChar w:fldCharType="end"/>
          </w:r>
        </w:p>
        <w:p w14:paraId="6822E533">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_Toc13815 </w:instrText>
          </w:r>
          <w:r>
            <w:rPr>
              <w:rFonts w:hint="eastAsia" w:ascii="宋体" w:hAnsi="宋体" w:eastAsia="宋体" w:cs="宋体"/>
              <w:szCs w:val="24"/>
            </w:rPr>
            <w:fldChar w:fldCharType="separate"/>
          </w:r>
          <w:r>
            <w:rPr>
              <w:rFonts w:hint="default"/>
              <w:lang w:val="en-US" w:eastAsia="zh-CN"/>
            </w:rPr>
            <w:t>1. 项目概述</w:t>
          </w:r>
          <w:r>
            <w:tab/>
          </w:r>
          <w:r>
            <w:fldChar w:fldCharType="begin"/>
          </w:r>
          <w:r>
            <w:instrText xml:space="preserve"> PAGEREF _Toc13815 \h </w:instrText>
          </w:r>
          <w:r>
            <w:fldChar w:fldCharType="separate"/>
          </w:r>
          <w:r>
            <w:t>4</w:t>
          </w:r>
          <w:r>
            <w:fldChar w:fldCharType="end"/>
          </w:r>
          <w:r>
            <w:rPr>
              <w:rFonts w:hint="eastAsia" w:ascii="宋体" w:hAnsi="宋体" w:eastAsia="宋体" w:cs="宋体"/>
              <w:szCs w:val="24"/>
            </w:rPr>
            <w:fldChar w:fldCharType="end"/>
          </w:r>
        </w:p>
        <w:p w14:paraId="58400737">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_Toc18538 </w:instrText>
          </w:r>
          <w:r>
            <w:rPr>
              <w:rFonts w:hint="eastAsia" w:ascii="宋体" w:hAnsi="宋体" w:eastAsia="宋体" w:cs="宋体"/>
              <w:szCs w:val="24"/>
            </w:rPr>
            <w:fldChar w:fldCharType="separate"/>
          </w:r>
          <w:r>
            <w:rPr>
              <w:rFonts w:hint="default"/>
              <w:lang w:val="en-US" w:eastAsia="zh-CN"/>
            </w:rPr>
            <w:t>2. 服务目标达成情况总览</w:t>
          </w:r>
          <w:r>
            <w:tab/>
          </w:r>
          <w:r>
            <w:fldChar w:fldCharType="begin"/>
          </w:r>
          <w:r>
            <w:instrText xml:space="preserve"> PAGEREF _Toc18538 \h </w:instrText>
          </w:r>
          <w:r>
            <w:fldChar w:fldCharType="separate"/>
          </w:r>
          <w:r>
            <w:t>4</w:t>
          </w:r>
          <w:r>
            <w:fldChar w:fldCharType="end"/>
          </w:r>
          <w:r>
            <w:rPr>
              <w:rFonts w:hint="eastAsia" w:ascii="宋体" w:hAnsi="宋体" w:eastAsia="宋体" w:cs="宋体"/>
              <w:szCs w:val="24"/>
            </w:rPr>
            <w:fldChar w:fldCharType="end"/>
          </w:r>
        </w:p>
        <w:p w14:paraId="7197F1D1">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_Toc13340 </w:instrText>
          </w:r>
          <w:r>
            <w:rPr>
              <w:rFonts w:hint="eastAsia" w:ascii="宋体" w:hAnsi="宋体" w:eastAsia="宋体" w:cs="宋体"/>
              <w:szCs w:val="24"/>
            </w:rPr>
            <w:fldChar w:fldCharType="separate"/>
          </w:r>
          <w:r>
            <w:rPr>
              <w:rFonts w:hint="default"/>
              <w:lang w:val="en-US" w:eastAsia="zh-CN"/>
            </w:rPr>
            <w:t>3. 年度核心服务交付总结</w:t>
          </w:r>
          <w:r>
            <w:tab/>
          </w:r>
          <w:r>
            <w:fldChar w:fldCharType="begin"/>
          </w:r>
          <w:r>
            <w:instrText xml:space="preserve"> PAGEREF _Toc13340 \h </w:instrText>
          </w:r>
          <w:r>
            <w:fldChar w:fldCharType="separate"/>
          </w:r>
          <w:r>
            <w:t>5</w:t>
          </w:r>
          <w:r>
            <w:fldChar w:fldCharType="end"/>
          </w:r>
          <w:r>
            <w:rPr>
              <w:rFonts w:hint="eastAsia" w:ascii="宋体" w:hAnsi="宋体" w:eastAsia="宋体" w:cs="宋体"/>
              <w:szCs w:val="24"/>
            </w:rPr>
            <w:fldChar w:fldCharType="end"/>
          </w:r>
        </w:p>
        <w:p w14:paraId="4773EB07">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_Toc15637 </w:instrText>
          </w:r>
          <w:r>
            <w:rPr>
              <w:rFonts w:hint="eastAsia" w:ascii="宋体" w:hAnsi="宋体" w:eastAsia="宋体" w:cs="宋体"/>
              <w:szCs w:val="24"/>
            </w:rPr>
            <w:fldChar w:fldCharType="separate"/>
          </w:r>
          <w:r>
            <w:rPr>
              <w:rFonts w:hint="default"/>
              <w:lang w:val="en-US" w:eastAsia="zh-CN"/>
            </w:rPr>
            <w:t>3.1. 日常运维与主动服务</w:t>
          </w:r>
          <w:r>
            <w:tab/>
          </w:r>
          <w:r>
            <w:fldChar w:fldCharType="begin"/>
          </w:r>
          <w:r>
            <w:instrText xml:space="preserve"> PAGEREF _Toc15637 \h </w:instrText>
          </w:r>
          <w:r>
            <w:fldChar w:fldCharType="separate"/>
          </w:r>
          <w:r>
            <w:t>5</w:t>
          </w:r>
          <w:r>
            <w:fldChar w:fldCharType="end"/>
          </w:r>
          <w:r>
            <w:rPr>
              <w:rFonts w:hint="eastAsia" w:ascii="宋体" w:hAnsi="宋体" w:eastAsia="宋体" w:cs="宋体"/>
              <w:szCs w:val="24"/>
            </w:rPr>
            <w:fldChar w:fldCharType="end"/>
          </w:r>
        </w:p>
        <w:p w14:paraId="33ACFB54">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_Toc24178 </w:instrText>
          </w:r>
          <w:r>
            <w:rPr>
              <w:rFonts w:hint="eastAsia" w:ascii="宋体" w:hAnsi="宋体" w:eastAsia="宋体" w:cs="宋体"/>
              <w:szCs w:val="24"/>
            </w:rPr>
            <w:fldChar w:fldCharType="separate"/>
          </w:r>
          <w:r>
            <w:rPr>
              <w:rFonts w:hint="default"/>
              <w:lang w:val="en-US" w:eastAsia="zh-CN"/>
            </w:rPr>
            <w:t>3.2. 系统健康与风险防控</w:t>
          </w:r>
          <w:r>
            <w:tab/>
          </w:r>
          <w:r>
            <w:fldChar w:fldCharType="begin"/>
          </w:r>
          <w:r>
            <w:instrText xml:space="preserve"> PAGEREF _Toc24178 \h </w:instrText>
          </w:r>
          <w:r>
            <w:fldChar w:fldCharType="separate"/>
          </w:r>
          <w:r>
            <w:t>5</w:t>
          </w:r>
          <w:r>
            <w:fldChar w:fldCharType="end"/>
          </w:r>
          <w:r>
            <w:rPr>
              <w:rFonts w:hint="eastAsia" w:ascii="宋体" w:hAnsi="宋体" w:eastAsia="宋体" w:cs="宋体"/>
              <w:szCs w:val="24"/>
            </w:rPr>
            <w:fldChar w:fldCharType="end"/>
          </w:r>
        </w:p>
        <w:p w14:paraId="056F1683">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_Toc9265 </w:instrText>
          </w:r>
          <w:r>
            <w:rPr>
              <w:rFonts w:hint="eastAsia" w:ascii="宋体" w:hAnsi="宋体" w:eastAsia="宋体" w:cs="宋体"/>
              <w:szCs w:val="24"/>
            </w:rPr>
            <w:fldChar w:fldCharType="separate"/>
          </w:r>
          <w:r>
            <w:rPr>
              <w:rFonts w:hint="default"/>
              <w:lang w:val="en-US" w:eastAsia="zh-CN"/>
            </w:rPr>
            <w:t>3.3. 管理赋能与资产保障</w:t>
          </w:r>
          <w:r>
            <w:tab/>
          </w:r>
          <w:r>
            <w:fldChar w:fldCharType="begin"/>
          </w:r>
          <w:r>
            <w:instrText xml:space="preserve"> PAGEREF _Toc9265 \h </w:instrText>
          </w:r>
          <w:r>
            <w:fldChar w:fldCharType="separate"/>
          </w:r>
          <w:r>
            <w:t>5</w:t>
          </w:r>
          <w:r>
            <w:fldChar w:fldCharType="end"/>
          </w:r>
          <w:r>
            <w:rPr>
              <w:rFonts w:hint="eastAsia" w:ascii="宋体" w:hAnsi="宋体" w:eastAsia="宋体" w:cs="宋体"/>
              <w:szCs w:val="24"/>
            </w:rPr>
            <w:fldChar w:fldCharType="end"/>
          </w:r>
        </w:p>
        <w:p w14:paraId="06756EC2">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_Toc31068 </w:instrText>
          </w:r>
          <w:r>
            <w:rPr>
              <w:rFonts w:hint="eastAsia" w:ascii="宋体" w:hAnsi="宋体" w:eastAsia="宋体" w:cs="宋体"/>
              <w:szCs w:val="24"/>
            </w:rPr>
            <w:fldChar w:fldCharType="separate"/>
          </w:r>
          <w:r>
            <w:rPr>
              <w:rFonts w:hint="default"/>
              <w:lang w:val="en-US" w:eastAsia="zh-CN"/>
            </w:rPr>
            <w:t>4. 服务管理体系运行成效</w:t>
          </w:r>
          <w:r>
            <w:tab/>
          </w:r>
          <w:r>
            <w:fldChar w:fldCharType="begin"/>
          </w:r>
          <w:r>
            <w:instrText xml:space="preserve"> PAGEREF _Toc31068 \h </w:instrText>
          </w:r>
          <w:r>
            <w:fldChar w:fldCharType="separate"/>
          </w:r>
          <w:r>
            <w:t>5</w:t>
          </w:r>
          <w:r>
            <w:fldChar w:fldCharType="end"/>
          </w:r>
          <w:r>
            <w:rPr>
              <w:rFonts w:hint="eastAsia" w:ascii="宋体" w:hAnsi="宋体" w:eastAsia="宋体" w:cs="宋体"/>
              <w:szCs w:val="24"/>
            </w:rPr>
            <w:fldChar w:fldCharType="end"/>
          </w:r>
        </w:p>
        <w:p w14:paraId="5F445D59">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_Toc23255 </w:instrText>
          </w:r>
          <w:r>
            <w:rPr>
              <w:rFonts w:hint="eastAsia" w:ascii="宋体" w:hAnsi="宋体" w:eastAsia="宋体" w:cs="宋体"/>
              <w:szCs w:val="24"/>
            </w:rPr>
            <w:fldChar w:fldCharType="separate"/>
          </w:r>
          <w:r>
            <w:rPr>
              <w:rFonts w:hint="default"/>
              <w:lang w:val="en-US" w:eastAsia="zh-CN"/>
            </w:rPr>
            <w:t>5. 持续改进与服务增值</w:t>
          </w:r>
          <w:r>
            <w:tab/>
          </w:r>
          <w:r>
            <w:fldChar w:fldCharType="begin"/>
          </w:r>
          <w:r>
            <w:instrText xml:space="preserve"> PAGEREF _Toc23255 \h </w:instrText>
          </w:r>
          <w:r>
            <w:fldChar w:fldCharType="separate"/>
          </w:r>
          <w:r>
            <w:t>6</w:t>
          </w:r>
          <w:r>
            <w:fldChar w:fldCharType="end"/>
          </w:r>
          <w:r>
            <w:rPr>
              <w:rFonts w:hint="eastAsia" w:ascii="宋体" w:hAnsi="宋体" w:eastAsia="宋体" w:cs="宋体"/>
              <w:szCs w:val="24"/>
            </w:rPr>
            <w:fldChar w:fldCharType="end"/>
          </w:r>
        </w:p>
        <w:p w14:paraId="7B4E4909">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_Toc22247 </w:instrText>
          </w:r>
          <w:r>
            <w:rPr>
              <w:rFonts w:hint="eastAsia" w:ascii="宋体" w:hAnsi="宋体" w:eastAsia="宋体" w:cs="宋体"/>
              <w:szCs w:val="24"/>
            </w:rPr>
            <w:fldChar w:fldCharType="separate"/>
          </w:r>
          <w:r>
            <w:rPr>
              <w:rFonts w:hint="default"/>
              <w:lang w:val="en-US" w:eastAsia="zh-CN"/>
            </w:rPr>
            <w:t>6. 总结</w:t>
          </w:r>
          <w:r>
            <w:tab/>
          </w:r>
          <w:r>
            <w:fldChar w:fldCharType="begin"/>
          </w:r>
          <w:r>
            <w:instrText xml:space="preserve"> PAGEREF _Toc22247 \h </w:instrText>
          </w:r>
          <w:r>
            <w:fldChar w:fldCharType="separate"/>
          </w:r>
          <w:r>
            <w:t>6</w:t>
          </w:r>
          <w:r>
            <w:fldChar w:fldCharType="end"/>
          </w:r>
          <w:r>
            <w:rPr>
              <w:rFonts w:hint="eastAsia" w:ascii="宋体" w:hAnsi="宋体" w:eastAsia="宋体" w:cs="宋体"/>
              <w:szCs w:val="24"/>
            </w:rPr>
            <w:fldChar w:fldCharType="end"/>
          </w:r>
        </w:p>
        <w:p w14:paraId="6DAE68F2">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0858AE51">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575A7E3D">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 w:name="_Toc13815"/>
      <w:r>
        <w:rPr>
          <w:rFonts w:hint="default"/>
          <w:lang w:val="en-US" w:eastAsia="zh-CN"/>
        </w:rPr>
        <w:t>项目概述</w:t>
      </w:r>
      <w:bookmarkEnd w:id="1"/>
    </w:p>
    <w:p w14:paraId="29BE32A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本报告旨在对“丰盈云人力资源服务业财一体化管理系统技术服务项目”（服务期限：2024年12月28日至2025年11月30日）的整体执行情况、服务成果与价值进行最终总结与回顾。</w:t>
      </w:r>
    </w:p>
    <w:p w14:paraId="119C8D4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近一年的服务周期内，北京新都远景网络技术有限公司（以下简称“我方”）严格履行与安徽益联科技有限公司（以下简称“贵方”）签订的《技术服务合同》，并依据双方确认的《项目交付方案》，组建专业、稳定的驻场服务团队，建立起标准化、流程化的服务交付与质量管理体系。通过全方位的主动运维与快速响应的技术支持，有效保障了丰盈云业财一体化管理系统及相关基础设施的持续稳定、高效与安全运行，圆满完成了各项合同约定的服务目标，实现了对贵方核心业务运营的坚实支撑。</w:t>
      </w:r>
    </w:p>
    <w:p w14:paraId="5950B4A0">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18538"/>
      <w:r>
        <w:rPr>
          <w:rFonts w:hint="default"/>
          <w:lang w:val="en-US" w:eastAsia="zh-CN"/>
        </w:rPr>
        <w:t>服务目标达成情况总览</w:t>
      </w:r>
      <w:bookmarkEnd w:id="2"/>
    </w:p>
    <w:p w14:paraId="6D56B12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对标项目初期确立的核心服务承诺，本服务年度关键目标达成情况如下表所示：</w:t>
      </w:r>
    </w:p>
    <w:tbl>
      <w:tblPr>
        <w:tblStyle w:val="20"/>
        <w:tblW w:w="90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3559"/>
        <w:gridCol w:w="5465"/>
      </w:tblGrid>
      <w:tr w14:paraId="0E294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559" w:type="dxa"/>
            <w:shd w:val="clear" w:color="auto" w:fill="auto"/>
            <w:tcMar>
              <w:top w:w="120" w:type="dxa"/>
              <w:left w:w="0" w:type="dxa"/>
              <w:bottom w:w="120" w:type="dxa"/>
              <w:right w:w="192" w:type="dxa"/>
            </w:tcMar>
            <w:vAlign w:val="center"/>
          </w:tcPr>
          <w:p w14:paraId="1DB5E93C">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ind w:left="0" w:leftChars="0" w:right="0" w:rightChars="0" w:firstLine="0" w:firstLineChars="0"/>
              <w:jc w:val="center"/>
              <w:textAlignment w:val="baseline"/>
              <w:rPr>
                <w:rFonts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bidi="ar"/>
              </w:rPr>
              <w:t>服务目标</w:t>
            </w:r>
          </w:p>
        </w:tc>
        <w:tc>
          <w:tcPr>
            <w:tcW w:w="5465" w:type="dxa"/>
            <w:shd w:val="clear" w:color="auto" w:fill="auto"/>
            <w:tcMar>
              <w:top w:w="120" w:type="dxa"/>
              <w:left w:w="192" w:type="dxa"/>
              <w:bottom w:w="120" w:type="dxa"/>
              <w:right w:w="192" w:type="dxa"/>
            </w:tcMar>
            <w:vAlign w:val="center"/>
          </w:tcPr>
          <w:p w14:paraId="4A9C626B">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ind w:left="0" w:leftChars="0" w:right="0" w:rightChars="0" w:firstLine="0" w:firstLineChars="0"/>
              <w:jc w:val="center"/>
              <w:textAlignment w:val="baseline"/>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bidi="ar"/>
              </w:rPr>
              <w:t>本年度达成情况概述</w:t>
            </w:r>
          </w:p>
        </w:tc>
      </w:tr>
      <w:tr w14:paraId="3984C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559" w:type="dxa"/>
            <w:shd w:val="clear" w:color="auto" w:fill="auto"/>
            <w:tcMar>
              <w:top w:w="120" w:type="dxa"/>
              <w:left w:w="0" w:type="dxa"/>
              <w:bottom w:w="120" w:type="dxa"/>
              <w:right w:w="192" w:type="dxa"/>
            </w:tcMar>
            <w:vAlign w:val="center"/>
          </w:tcPr>
          <w:p w14:paraId="56FCA3B3">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“三包”承诺（包运行、包维护、包管理）</w:t>
            </w:r>
          </w:p>
        </w:tc>
        <w:tc>
          <w:tcPr>
            <w:tcW w:w="5465" w:type="dxa"/>
            <w:shd w:val="clear" w:color="auto" w:fill="auto"/>
            <w:tcMar>
              <w:top w:w="120" w:type="dxa"/>
              <w:left w:w="192" w:type="dxa"/>
              <w:bottom w:w="120" w:type="dxa"/>
              <w:right w:w="0" w:type="dxa"/>
            </w:tcMar>
            <w:vAlign w:val="center"/>
          </w:tcPr>
          <w:p w14:paraId="35E804FE">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系统全年运行平稳，未发生因我方运维责任导致的计划外系统性服务中断。所有既定维护任务与应急故障处理均圆满完成，服务管理体系运作有效、可靠。</w:t>
            </w:r>
          </w:p>
        </w:tc>
      </w:tr>
      <w:tr w14:paraId="4CA0D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559" w:type="dxa"/>
            <w:shd w:val="clear" w:color="auto" w:fill="auto"/>
            <w:tcMar>
              <w:top w:w="120" w:type="dxa"/>
              <w:left w:w="0" w:type="dxa"/>
              <w:bottom w:w="120" w:type="dxa"/>
              <w:right w:w="192" w:type="dxa"/>
            </w:tcMar>
            <w:vAlign w:val="center"/>
          </w:tcPr>
          <w:p w14:paraId="39A691DB">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高可用性保障（及时、准确、稳定）</w:t>
            </w:r>
          </w:p>
        </w:tc>
        <w:tc>
          <w:tcPr>
            <w:tcW w:w="5465" w:type="dxa"/>
            <w:shd w:val="clear" w:color="auto" w:fill="auto"/>
            <w:tcMar>
              <w:top w:w="120" w:type="dxa"/>
              <w:left w:w="192" w:type="dxa"/>
              <w:bottom w:w="120" w:type="dxa"/>
              <w:right w:w="0" w:type="dxa"/>
            </w:tcMar>
            <w:vAlign w:val="center"/>
          </w:tcPr>
          <w:p w14:paraId="26EA6254">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所有服务请求与故障申告均得到及时响应与有效处理。通过7x24小时监控与主动巡检，系统核心业务可用性得到充分保障，运行稳定性符合预期。</w:t>
            </w:r>
          </w:p>
        </w:tc>
      </w:tr>
      <w:tr w14:paraId="785C8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3559" w:type="dxa"/>
            <w:shd w:val="clear" w:color="auto" w:fill="auto"/>
            <w:tcMar>
              <w:top w:w="120" w:type="dxa"/>
              <w:left w:w="0" w:type="dxa"/>
              <w:bottom w:w="120" w:type="dxa"/>
              <w:right w:w="192" w:type="dxa"/>
            </w:tcMar>
            <w:vAlign w:val="center"/>
          </w:tcPr>
          <w:p w14:paraId="5A92C783">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硬件完好性（保完好、不中断）</w:t>
            </w:r>
          </w:p>
        </w:tc>
        <w:tc>
          <w:tcPr>
            <w:tcW w:w="5465" w:type="dxa"/>
            <w:shd w:val="clear" w:color="auto" w:fill="auto"/>
            <w:tcMar>
              <w:top w:w="120" w:type="dxa"/>
              <w:left w:w="192" w:type="dxa"/>
              <w:bottom w:w="120" w:type="dxa"/>
              <w:right w:w="0" w:type="dxa"/>
            </w:tcMar>
            <w:vAlign w:val="center"/>
          </w:tcPr>
          <w:p w14:paraId="594A1BA3">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服务范围内在保设备均维持良好工作状态。对发生的硬件故障，均通过现场备件库或应急渠道在规定时限内完成更换，未造成业务长期中断。</w:t>
            </w:r>
          </w:p>
        </w:tc>
      </w:tr>
      <w:tr w14:paraId="514AC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559" w:type="dxa"/>
            <w:shd w:val="clear" w:color="auto" w:fill="auto"/>
            <w:tcMar>
              <w:top w:w="120" w:type="dxa"/>
              <w:left w:w="0" w:type="dxa"/>
              <w:bottom w:w="120" w:type="dxa"/>
              <w:right w:w="192" w:type="dxa"/>
            </w:tcMar>
            <w:vAlign w:val="center"/>
          </w:tcPr>
          <w:p w14:paraId="4B8B2EE6">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信息安全（保密、不泄密）</w:t>
            </w:r>
          </w:p>
        </w:tc>
        <w:tc>
          <w:tcPr>
            <w:tcW w:w="5465" w:type="dxa"/>
            <w:shd w:val="clear" w:color="auto" w:fill="auto"/>
            <w:tcMar>
              <w:top w:w="120" w:type="dxa"/>
              <w:left w:w="192" w:type="dxa"/>
              <w:bottom w:w="120" w:type="dxa"/>
              <w:right w:w="0" w:type="dxa"/>
            </w:tcMar>
            <w:vAlign w:val="center"/>
          </w:tcPr>
          <w:p w14:paraId="3460730D">
            <w:pPr>
              <w:keepNext w:val="0"/>
              <w:keepLines w:val="0"/>
              <w:pageBreakBefore w:val="0"/>
              <w:widowControl w:val="0"/>
              <w:suppressLineNumbers w:val="0"/>
              <w:kinsoku w:val="0"/>
              <w:wordWrap/>
              <w:overflowPunct/>
              <w:topLinePunct w:val="0"/>
              <w:autoSpaceDE w:val="0"/>
              <w:autoSpaceDN w:val="0"/>
              <w:bidi w:val="0"/>
              <w:adjustRightInd w:val="0"/>
              <w:snapToGrid w:val="0"/>
              <w:spacing w:line="300" w:lineRule="atLeast"/>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全体服务人员严格遵守保密协议，运维操作规范、全程留痕。服务期间未发生任何信息泄露或安全违规事件。</w:t>
            </w:r>
          </w:p>
        </w:tc>
      </w:tr>
    </w:tbl>
    <w:p w14:paraId="55AD1D10">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13340"/>
      <w:r>
        <w:rPr>
          <w:rFonts w:hint="default"/>
          <w:lang w:val="en-US" w:eastAsia="zh-CN"/>
        </w:rPr>
        <w:t>年度核心服务交付总结</w:t>
      </w:r>
      <w:bookmarkEnd w:id="3"/>
    </w:p>
    <w:p w14:paraId="710CE7C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15637"/>
      <w:r>
        <w:rPr>
          <w:rFonts w:hint="default"/>
          <w:lang w:val="en-US" w:eastAsia="zh-CN"/>
        </w:rPr>
        <w:t>日常运维与主动服务</w:t>
      </w:r>
      <w:bookmarkEnd w:id="4"/>
    </w:p>
    <w:p w14:paraId="5FB9B25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台与事件管理：依托运维管理平台，提供了统一、高效的服务接入与事件处理通道。全年累计处理并闭环各类服务请求与故障数百起，所有事件均严格遵循分级响应机制（SLA）在规定时限内解决，一、二级重大故障平均恢复时间优于约定要求。</w:t>
      </w:r>
    </w:p>
    <w:p w14:paraId="7A192E6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变更与发布支持：顺利支持并完成了所有由贵方授权的网络调整、系统配置变更等流程化操作，确保变更过程风险受控、结果可追溯。</w:t>
      </w:r>
    </w:p>
    <w:p w14:paraId="362C060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24178"/>
      <w:r>
        <w:rPr>
          <w:rFonts w:hint="default"/>
          <w:lang w:val="en-US" w:eastAsia="zh-CN"/>
        </w:rPr>
        <w:t>系统健康与风险防控</w:t>
      </w:r>
      <w:bookmarkEnd w:id="5"/>
    </w:p>
    <w:p w14:paraId="1982876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预防性维护体系：高标准执行了周期性、多层级的巡检计划，全年累计完成周巡检50次、月巡检11次、季度深度巡检3次，并针对多次重大业务活动进行了专项保障与值守。通过主动的监控分析与定期的设备除尘等维护，有效预防了潜在风险。</w:t>
      </w:r>
    </w:p>
    <w:p w14:paraId="77B147E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风险识别与处置：在例行巡检中主动发现并报告了如负载均衡设备单电源运行等潜在隐患，及时提供处理建议，体现了“预防为主”的服务原则。</w:t>
      </w:r>
    </w:p>
    <w:p w14:paraId="1B368F2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9265"/>
      <w:r>
        <w:rPr>
          <w:rFonts w:hint="default"/>
          <w:lang w:val="en-US" w:eastAsia="zh-CN"/>
        </w:rPr>
        <w:t>管理赋能与资产保障</w:t>
      </w:r>
      <w:bookmarkEnd w:id="6"/>
    </w:p>
    <w:p w14:paraId="2314B45D">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资产管理：完成了服务范围内IT资产的初始化普查与动态维护，资产信息准确、账实相符，为精细化管理与决策提供了可靠数据基础。</w:t>
      </w:r>
    </w:p>
    <w:p w14:paraId="437CD5A6">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数据安全：严格执行数据备份策略，定期验证备份有效性，确保了业务数据的可靠性与可恢复性。</w:t>
      </w:r>
    </w:p>
    <w:p w14:paraId="4EC59A29">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知识赋能：持续建设和运营项目知识库，系统化地沉淀了典型故障解决方案、操作手册等关键知识，促进了团队经验共享与服务能力的持续提升。</w:t>
      </w:r>
    </w:p>
    <w:p w14:paraId="5A695169">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31068"/>
      <w:r>
        <w:rPr>
          <w:rFonts w:hint="default"/>
          <w:lang w:val="en-US" w:eastAsia="zh-CN"/>
        </w:rPr>
        <w:t>服务管理体系运行成效</w:t>
      </w:r>
      <w:bookmarkEnd w:id="7"/>
    </w:p>
    <w:p w14:paraId="4BB32443">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本项目成功实践了《交付方案》中设计的标准化服务管理体系：</w:t>
      </w:r>
    </w:p>
    <w:p w14:paraId="7F223C39">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组织与人员：由1名现场项目经理和8名运维工程师组成的驻场团队结构稳定、职责清晰、协作高效。A/B岗与应急轮值机制保障了服务的连续性。</w:t>
      </w:r>
    </w:p>
    <w:p w14:paraId="58AB3D91">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流程与平台：通过线上化运维管理平台，实现了事件、问题、变更等核心服务流程的标准化运作与全程可视化，确保了服务过程可追溯、可度量。</w:t>
      </w:r>
    </w:p>
    <w:p w14:paraId="5436AE26">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质量与监督：服务质量持续接受公司质量效能部的独立监督。全年核心服务级别协议（SLA）达成率为100%，年度客户满意度调研结果达到优秀水平。</w:t>
      </w:r>
    </w:p>
    <w:p w14:paraId="1DBD9E43">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23255"/>
      <w:r>
        <w:rPr>
          <w:rFonts w:hint="default"/>
          <w:lang w:val="en-US" w:eastAsia="zh-CN"/>
        </w:rPr>
        <w:t>持续改进与服务增值</w:t>
      </w:r>
      <w:bookmarkEnd w:id="8"/>
    </w:p>
    <w:p w14:paraId="14A5914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本年度，在保障系统稳定的基础上，我们致力于推动服务的持续改进与价值延伸：</w:t>
      </w:r>
    </w:p>
    <w:p w14:paraId="679FDB30">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完成既定改进计划：优化了监控告警策略，开展了知识共享宣导，丰富了服务报告内容，主动服务能力得到增强。</w:t>
      </w:r>
    </w:p>
    <w:p w14:paraId="67790712">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应急能力锤炼：组织了应急预案演练，有效提升了团队对突发事件的协同处置能力。</w:t>
      </w:r>
    </w:p>
    <w:p w14:paraId="0B325718">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前瞻性建议：结合年度性能数据分析，向贵方提交了系统性能与架构的优化建议，为未来系统演进提供了有价值的参考。</w:t>
      </w:r>
    </w:p>
    <w:p w14:paraId="386A47AA">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22247"/>
      <w:r>
        <w:rPr>
          <w:rFonts w:hint="default"/>
          <w:lang w:val="en-US" w:eastAsia="zh-CN"/>
        </w:rPr>
        <w:t>总结</w:t>
      </w:r>
      <w:bookmarkEnd w:id="9"/>
    </w:p>
    <w:p w14:paraId="55FE5CD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截止</w:t>
      </w:r>
      <w:r>
        <w:rPr>
          <w:rFonts w:hint="default"/>
          <w:lang w:val="en-US" w:eastAsia="zh-CN"/>
        </w:rPr>
        <w:t>2025年11月30日，丰盈云人力资源服务业财一体化管理系统技术服务项目已圆满收官。回首整个服务周期，在贵方领导与项目团队的高度信任、大力支持和紧密协作下，我们共同确保了系统的平稳高效运行，全面达成了各项服务目标。</w:t>
      </w:r>
    </w:p>
    <w:p w14:paraId="5920C29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此次成功的合作，不仅是对我方服务能力与专业精神的肯定，也为我们未来提供更优质的服务积累了宝贵经验。我们已为项目所有文档、资产及知识的顺利交接做好充分准备，确保收尾工作平稳有序。</w:t>
      </w:r>
    </w:p>
    <w:p w14:paraId="7E37FFB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谨此，对贵方在过去一年中给予的信任与合作表示最诚挚的感谢！我们期待未来能有更多机会，继续为安徽益联科技有限公司的业务发展提供坚实、卓越的技术服务支撑。</w:t>
      </w:r>
    </w:p>
    <w:bookmarkEnd w:id="10"/>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3E75D8">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北京新都远景网络技术有限公司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08DF113C"/>
    <w:multiLevelType w:val="singleLevel"/>
    <w:tmpl w:val="08DF113C"/>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3C350C4"/>
    <w:rsid w:val="07DC6755"/>
    <w:rsid w:val="0BB91287"/>
    <w:rsid w:val="0CC51889"/>
    <w:rsid w:val="0F9242C9"/>
    <w:rsid w:val="15671D54"/>
    <w:rsid w:val="260E7FC9"/>
    <w:rsid w:val="269D4185"/>
    <w:rsid w:val="28FC52BC"/>
    <w:rsid w:val="2D7E3C87"/>
    <w:rsid w:val="2DF37C3D"/>
    <w:rsid w:val="363D46DF"/>
    <w:rsid w:val="3F5271FA"/>
    <w:rsid w:val="499E328F"/>
    <w:rsid w:val="4C275475"/>
    <w:rsid w:val="54557A16"/>
    <w:rsid w:val="54FF790E"/>
    <w:rsid w:val="55D9793E"/>
    <w:rsid w:val="57517B92"/>
    <w:rsid w:val="586003AA"/>
    <w:rsid w:val="587F6039"/>
    <w:rsid w:val="5F4B3119"/>
    <w:rsid w:val="638349FA"/>
    <w:rsid w:val="648C1654"/>
    <w:rsid w:val="6E0948CB"/>
    <w:rsid w:val="6E645FA5"/>
    <w:rsid w:val="6F563B40"/>
    <w:rsid w:val="705300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link w:val="43"/>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 w:type="character" w:customStyle="1" w:styleId="43">
    <w:name w:val="柴_标题3 Char"/>
    <w:link w:val="31"/>
    <w:qFormat/>
    <w:uiPriority w:val="0"/>
    <w:rPr>
      <w:rFonts w:ascii="宋体" w:hAnsi="宋体" w:eastAsia="宋体" w:cs="宋体"/>
      <w:spacing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714</Words>
  <Characters>803</Characters>
  <Lines>0</Lines>
  <Paragraphs>0</Paragraphs>
  <TotalTime>0</TotalTime>
  <ScaleCrop>false</ScaleCrop>
  <LinksUpToDate>false</LinksUpToDate>
  <CharactersWithSpaces>854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2026-01-15T14:07:35Z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