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8"/>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eastAsia"/>
          <w:b/>
          <w:bCs/>
          <w:snapToGrid w:val="0"/>
          <w:color w:val="000000"/>
          <w:spacing w:val="-7"/>
          <w:kern w:val="0"/>
          <w:sz w:val="52"/>
          <w:szCs w:val="52"/>
          <w:lang w:val="en-US" w:eastAsia="zh-CN" w:bidi="ar-SA"/>
        </w:rPr>
        <w:t>丰盈云人力资源服务业财一体化管理系统技术服务项目-应急预案</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9</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02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_Toc1148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_Toc1148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_Toc11460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_Toc11460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_Toc12837 </w:instrText>
          </w:r>
          <w:r>
            <w:rPr>
              <w:rFonts w:ascii="宋体" w:eastAsia="宋体" w:hAnsi="宋体" w:cs="宋体" w:hint="eastAsia"/>
              <w:szCs w:val="24"/>
            </w:rPr>
            <w:fldChar w:fldCharType="separate"/>
          </w:r>
          <w:r>
            <w:rPr>
              <w:rFonts w:hint="default"/>
              <w:lang w:val="en-US" w:eastAsia="zh-CN"/>
            </w:rPr>
            <w:t>1.1. 编制目的</w:t>
          </w:r>
          <w:r>
            <w:tab/>
          </w:r>
          <w:r>
            <w:fldChar w:fldCharType="begin"/>
          </w:r>
          <w:r>
            <w:instrText xml:space="preserve"> PAGEREF _Toc12837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_Toc12614 </w:instrText>
          </w:r>
          <w:r>
            <w:rPr>
              <w:rFonts w:ascii="宋体" w:eastAsia="宋体" w:hAnsi="宋体" w:cs="宋体" w:hint="eastAsia"/>
              <w:szCs w:val="24"/>
            </w:rPr>
            <w:fldChar w:fldCharType="separate"/>
          </w:r>
          <w:r>
            <w:rPr>
              <w:rFonts w:hint="default"/>
              <w:lang w:val="en-US" w:eastAsia="zh-CN"/>
            </w:rPr>
            <w:t>1.2. 编制依据</w:t>
          </w:r>
          <w:r>
            <w:tab/>
          </w:r>
          <w:r>
            <w:fldChar w:fldCharType="begin"/>
          </w:r>
          <w:r>
            <w:instrText xml:space="preserve"> PAGEREF _Toc12614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_Toc10314 </w:instrText>
          </w:r>
          <w:r>
            <w:rPr>
              <w:rFonts w:ascii="宋体" w:eastAsia="宋体" w:hAnsi="宋体" w:cs="宋体" w:hint="eastAsia"/>
              <w:szCs w:val="24"/>
            </w:rPr>
            <w:fldChar w:fldCharType="separate"/>
          </w:r>
          <w:r>
            <w:rPr>
              <w:rFonts w:hint="default"/>
              <w:lang w:val="en-US" w:eastAsia="zh-CN"/>
            </w:rPr>
            <w:t>1.3. 适用范围</w:t>
          </w:r>
          <w:r>
            <w:tab/>
          </w:r>
          <w:r>
            <w:fldChar w:fldCharType="begin"/>
          </w:r>
          <w:r>
            <w:instrText xml:space="preserve"> PAGEREF _Toc10314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_Toc16248 </w:instrText>
          </w:r>
          <w:r>
            <w:rPr>
              <w:rFonts w:ascii="宋体" w:eastAsia="宋体" w:hAnsi="宋体" w:cs="宋体" w:hint="eastAsia"/>
              <w:szCs w:val="24"/>
            </w:rPr>
            <w:fldChar w:fldCharType="separate"/>
          </w:r>
          <w:r>
            <w:rPr>
              <w:rFonts w:hint="default"/>
              <w:lang w:val="en-US" w:eastAsia="zh-CN"/>
            </w:rPr>
            <w:t>1.4. 工作原则</w:t>
          </w:r>
          <w:r>
            <w:tab/>
          </w:r>
          <w:r>
            <w:fldChar w:fldCharType="begin"/>
          </w:r>
          <w:r>
            <w:instrText xml:space="preserve"> PAGEREF _Toc16248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_Toc14577 </w:instrText>
          </w:r>
          <w:r>
            <w:rPr>
              <w:rFonts w:ascii="宋体" w:eastAsia="宋体" w:hAnsi="宋体" w:cs="宋体" w:hint="eastAsia"/>
              <w:szCs w:val="24"/>
            </w:rPr>
            <w:fldChar w:fldCharType="separate"/>
          </w:r>
          <w:r>
            <w:rPr>
              <w:rFonts w:hint="default"/>
              <w:lang w:val="en-US" w:eastAsia="zh-CN"/>
            </w:rPr>
            <w:t>2. 应急组织体系与职责</w:t>
          </w:r>
          <w:r>
            <w:tab/>
          </w:r>
          <w:r>
            <w:fldChar w:fldCharType="begin"/>
          </w:r>
          <w:r>
            <w:instrText xml:space="preserve"> PAGEREF _Toc14577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_Toc13417 </w:instrText>
          </w:r>
          <w:r>
            <w:rPr>
              <w:rFonts w:ascii="宋体" w:eastAsia="宋体" w:hAnsi="宋体" w:cs="宋体" w:hint="eastAsia"/>
              <w:szCs w:val="24"/>
            </w:rPr>
            <w:fldChar w:fldCharType="separate"/>
          </w:r>
          <w:r>
            <w:rPr>
              <w:rFonts w:hint="default"/>
              <w:lang w:val="en-US" w:eastAsia="zh-CN"/>
            </w:rPr>
            <w:t>2.1. 应急领导小组</w:t>
          </w:r>
          <w:r>
            <w:tab/>
          </w:r>
          <w:r>
            <w:fldChar w:fldCharType="begin"/>
          </w:r>
          <w:r>
            <w:instrText xml:space="preserve"> PAGEREF _Toc13417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_Toc23432 </w:instrText>
          </w:r>
          <w:r>
            <w:rPr>
              <w:rFonts w:ascii="宋体" w:eastAsia="宋体" w:hAnsi="宋体" w:cs="宋体" w:hint="eastAsia"/>
              <w:szCs w:val="24"/>
            </w:rPr>
            <w:fldChar w:fldCharType="separate"/>
          </w:r>
          <w:r>
            <w:rPr>
              <w:rFonts w:hint="default"/>
              <w:lang w:val="en-US" w:eastAsia="zh-CN"/>
            </w:rPr>
            <w:t>2.2. 应急执行组</w:t>
          </w:r>
          <w:r>
            <w:tab/>
          </w:r>
          <w:r>
            <w:fldChar w:fldCharType="begin"/>
          </w:r>
          <w:r>
            <w:instrText xml:space="preserve"> PAGEREF _Toc23432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_Toc26116 </w:instrText>
          </w:r>
          <w:r>
            <w:rPr>
              <w:rFonts w:ascii="宋体" w:eastAsia="宋体" w:hAnsi="宋体" w:cs="宋体" w:hint="eastAsia"/>
              <w:szCs w:val="24"/>
            </w:rPr>
            <w:fldChar w:fldCharType="separate"/>
          </w:r>
          <w:r>
            <w:rPr>
              <w:rFonts w:hint="default"/>
              <w:lang w:val="en-US" w:eastAsia="zh-CN"/>
            </w:rPr>
            <w:t>2.3. 应急保障组</w:t>
          </w:r>
          <w:r>
            <w:tab/>
          </w:r>
          <w:r>
            <w:fldChar w:fldCharType="begin"/>
          </w:r>
          <w:r>
            <w:instrText xml:space="preserve"> PAGEREF _Toc26116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_Toc8635 </w:instrText>
          </w:r>
          <w:r>
            <w:rPr>
              <w:rFonts w:ascii="宋体" w:eastAsia="宋体" w:hAnsi="宋体" w:cs="宋体" w:hint="eastAsia"/>
              <w:szCs w:val="24"/>
            </w:rPr>
            <w:fldChar w:fldCharType="separate"/>
          </w:r>
          <w:r>
            <w:rPr>
              <w:rFonts w:hint="default"/>
              <w:lang w:val="en-US" w:eastAsia="zh-CN"/>
            </w:rPr>
            <w:t>2.4. 应急观察评估组</w:t>
          </w:r>
          <w:r>
            <w:tab/>
          </w:r>
          <w:r>
            <w:fldChar w:fldCharType="begin"/>
          </w:r>
          <w:r>
            <w:instrText xml:space="preserve"> PAGEREF _Toc8635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_Toc3331 </w:instrText>
          </w:r>
          <w:r>
            <w:rPr>
              <w:rFonts w:ascii="宋体" w:eastAsia="宋体" w:hAnsi="宋体" w:cs="宋体" w:hint="eastAsia"/>
              <w:szCs w:val="24"/>
            </w:rPr>
            <w:fldChar w:fldCharType="separate"/>
          </w:r>
          <w:r>
            <w:rPr>
              <w:rFonts w:hint="default"/>
              <w:lang w:val="en-US" w:eastAsia="zh-CN"/>
            </w:rPr>
            <w:t>3. 预警预防机制</w:t>
          </w:r>
          <w:r>
            <w:tab/>
          </w:r>
          <w:r>
            <w:fldChar w:fldCharType="begin"/>
          </w:r>
          <w:r>
            <w:instrText xml:space="preserve"> PAGEREF _Toc3331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_Toc8207 </w:instrText>
          </w:r>
          <w:r>
            <w:rPr>
              <w:rFonts w:ascii="宋体" w:eastAsia="宋体" w:hAnsi="宋体" w:cs="宋体" w:hint="eastAsia"/>
              <w:szCs w:val="24"/>
            </w:rPr>
            <w:fldChar w:fldCharType="separate"/>
          </w:r>
          <w:r>
            <w:rPr>
              <w:rFonts w:hint="default"/>
              <w:lang w:val="en-US" w:eastAsia="zh-CN"/>
            </w:rPr>
            <w:t>4. 应急响应流程</w:t>
          </w:r>
          <w:r>
            <w:tab/>
          </w:r>
          <w:r>
            <w:fldChar w:fldCharType="begin"/>
          </w:r>
          <w:r>
            <w:instrText xml:space="preserve"> PAGEREF _Toc8207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_Toc6060 </w:instrText>
          </w:r>
          <w:r>
            <w:rPr>
              <w:rFonts w:ascii="宋体" w:eastAsia="宋体" w:hAnsi="宋体" w:cs="宋体" w:hint="eastAsia"/>
              <w:szCs w:val="24"/>
            </w:rPr>
            <w:fldChar w:fldCharType="separate"/>
          </w:r>
          <w:r>
            <w:rPr>
              <w:rFonts w:hint="default"/>
              <w:lang w:val="en-US" w:eastAsia="zh-CN"/>
            </w:rPr>
            <w:t>4.1. 事件分级与响应</w:t>
          </w:r>
          <w:r>
            <w:tab/>
          </w:r>
          <w:r>
            <w:fldChar w:fldCharType="begin"/>
          </w:r>
          <w:r>
            <w:instrText xml:space="preserve"> PAGEREF _Toc6060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_Toc20548 </w:instrText>
          </w:r>
          <w:r>
            <w:rPr>
              <w:rFonts w:ascii="宋体" w:eastAsia="宋体" w:hAnsi="宋体" w:cs="宋体" w:hint="eastAsia"/>
              <w:szCs w:val="24"/>
            </w:rPr>
            <w:fldChar w:fldCharType="separate"/>
          </w:r>
          <w:r>
            <w:rPr>
              <w:rFonts w:hint="default"/>
              <w:lang w:val="en-US" w:eastAsia="zh-CN"/>
            </w:rPr>
            <w:t>4.2. 响应启动与处置流程</w:t>
          </w:r>
          <w:r>
            <w:tab/>
          </w:r>
          <w:r>
            <w:fldChar w:fldCharType="begin"/>
          </w:r>
          <w:r>
            <w:instrText xml:space="preserve"> PAGEREF _Toc20548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_Toc29474 </w:instrText>
          </w:r>
          <w:r>
            <w:rPr>
              <w:rFonts w:ascii="宋体" w:eastAsia="宋体" w:hAnsi="宋体" w:cs="宋体" w:hint="eastAsia"/>
              <w:szCs w:val="24"/>
            </w:rPr>
            <w:fldChar w:fldCharType="separate"/>
          </w:r>
          <w:r>
            <w:rPr>
              <w:rFonts w:hint="default"/>
              <w:lang w:val="en-US" w:eastAsia="zh-CN"/>
            </w:rPr>
            <w:t>4.2.1. 发现与报告</w:t>
          </w:r>
          <w:r>
            <w:tab/>
          </w:r>
          <w:r>
            <w:fldChar w:fldCharType="begin"/>
          </w:r>
          <w:r>
            <w:instrText xml:space="preserve"> PAGEREF _Toc29474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_Toc25542 </w:instrText>
          </w:r>
          <w:r>
            <w:rPr>
              <w:rFonts w:ascii="宋体" w:eastAsia="宋体" w:hAnsi="宋体" w:cs="宋体" w:hint="eastAsia"/>
              <w:szCs w:val="24"/>
            </w:rPr>
            <w:fldChar w:fldCharType="separate"/>
          </w:r>
          <w:r>
            <w:rPr>
              <w:rFonts w:hint="default"/>
              <w:lang w:val="en-US" w:eastAsia="zh-CN"/>
            </w:rPr>
            <w:t>4.2.2. 研判与定级</w:t>
          </w:r>
          <w:r>
            <w:tab/>
          </w:r>
          <w:r>
            <w:fldChar w:fldCharType="begin"/>
          </w:r>
          <w:r>
            <w:instrText xml:space="preserve"> PAGEREF _Toc25542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_Toc2194 </w:instrText>
          </w:r>
          <w:r>
            <w:rPr>
              <w:rFonts w:ascii="宋体" w:eastAsia="宋体" w:hAnsi="宋体" w:cs="宋体" w:hint="eastAsia"/>
              <w:szCs w:val="24"/>
            </w:rPr>
            <w:fldChar w:fldCharType="separate"/>
          </w:r>
          <w:r>
            <w:rPr>
              <w:rFonts w:hint="default"/>
              <w:lang w:val="en-US" w:eastAsia="zh-CN"/>
            </w:rPr>
            <w:t>4.2.3. 应急启动与指挥</w:t>
          </w:r>
          <w:r>
            <w:tab/>
          </w:r>
          <w:r>
            <w:fldChar w:fldCharType="begin"/>
          </w:r>
          <w:r>
            <w:instrText xml:space="preserve"> PAGEREF _Toc2194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_Toc28347 </w:instrText>
          </w:r>
          <w:r>
            <w:rPr>
              <w:rFonts w:ascii="宋体" w:eastAsia="宋体" w:hAnsi="宋体" w:cs="宋体" w:hint="eastAsia"/>
              <w:szCs w:val="24"/>
            </w:rPr>
            <w:fldChar w:fldCharType="separate"/>
          </w:r>
          <w:r>
            <w:rPr>
              <w:rFonts w:hint="default"/>
              <w:lang w:val="en-US" w:eastAsia="zh-CN"/>
            </w:rPr>
            <w:t>4.2.4. 处置与恢复</w:t>
          </w:r>
          <w:r>
            <w:tab/>
          </w:r>
          <w:r>
            <w:fldChar w:fldCharType="begin"/>
          </w:r>
          <w:r>
            <w:instrText xml:space="preserve"> PAGEREF _Toc28347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_Toc21641 </w:instrText>
          </w:r>
          <w:r>
            <w:rPr>
              <w:rFonts w:ascii="宋体" w:eastAsia="宋体" w:hAnsi="宋体" w:cs="宋体" w:hint="eastAsia"/>
              <w:szCs w:val="24"/>
            </w:rPr>
            <w:fldChar w:fldCharType="separate"/>
          </w:r>
          <w:r>
            <w:rPr>
              <w:rFonts w:hint="default"/>
              <w:lang w:val="en-US" w:eastAsia="zh-CN"/>
            </w:rPr>
            <w:t>4.2.5. 应急终止</w:t>
          </w:r>
          <w:r>
            <w:tab/>
          </w:r>
          <w:r>
            <w:fldChar w:fldCharType="begin"/>
          </w:r>
          <w:r>
            <w:instrText xml:space="preserve"> PAGEREF _Toc21641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_Toc22640 </w:instrText>
          </w:r>
          <w:r>
            <w:rPr>
              <w:rFonts w:ascii="宋体" w:eastAsia="宋体" w:hAnsi="宋体" w:cs="宋体" w:hint="eastAsia"/>
              <w:szCs w:val="24"/>
            </w:rPr>
            <w:fldChar w:fldCharType="separate"/>
          </w:r>
          <w:r>
            <w:rPr>
              <w:rFonts w:hint="default"/>
              <w:lang w:val="en-US" w:eastAsia="zh-CN"/>
            </w:rPr>
            <w:t>5. 后期处置</w:t>
          </w:r>
          <w:r>
            <w:tab/>
          </w:r>
          <w:r>
            <w:fldChar w:fldCharType="begin"/>
          </w:r>
          <w:r>
            <w:instrText xml:space="preserve"> PAGEREF _Toc22640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_Toc29236 </w:instrText>
          </w:r>
          <w:r>
            <w:rPr>
              <w:rFonts w:ascii="宋体" w:eastAsia="宋体" w:hAnsi="宋体" w:cs="宋体" w:hint="eastAsia"/>
              <w:szCs w:val="24"/>
            </w:rPr>
            <w:fldChar w:fldCharType="separate"/>
          </w:r>
          <w:r>
            <w:rPr>
              <w:rFonts w:hint="default"/>
              <w:lang w:val="en-US" w:eastAsia="zh-CN"/>
            </w:rPr>
            <w:t>6. 保障措施</w:t>
          </w:r>
          <w:r>
            <w:tab/>
          </w:r>
          <w:r>
            <w:fldChar w:fldCharType="begin"/>
          </w:r>
          <w:r>
            <w:instrText xml:space="preserve"> PAGEREF _Toc29236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_Toc9264 </w:instrText>
          </w:r>
          <w:r>
            <w:rPr>
              <w:rFonts w:ascii="宋体" w:eastAsia="宋体" w:hAnsi="宋体" w:cs="宋体" w:hint="eastAsia"/>
              <w:szCs w:val="24"/>
            </w:rPr>
            <w:fldChar w:fldCharType="separate"/>
          </w:r>
          <w:r>
            <w:rPr>
              <w:rFonts w:hint="default"/>
              <w:lang w:val="en-US" w:eastAsia="zh-CN"/>
            </w:rPr>
            <w:t>7. 预案管理</w:t>
          </w:r>
          <w:r>
            <w:tab/>
          </w:r>
          <w:r>
            <w:fldChar w:fldCharType="begin"/>
          </w:r>
          <w:r>
            <w:instrText xml:space="preserve"> PAGEREF _Toc9264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1" w:name="_Toc11460"/>
      <w:r>
        <w:rPr>
          <w:rFonts w:hint="default"/>
          <w:lang w:val="en-US" w:eastAsia="zh-CN"/>
        </w:rPr>
        <w:t>总则</w:t>
      </w:r>
      <w:bookmarkEnd w:id="1"/>
    </w:p>
    <w:p>
      <w:pPr>
        <w:pStyle w:val="2"/>
        <w:bidi w:val="0"/>
        <w:rPr>
          <w:rFonts w:hint="default"/>
          <w:lang w:val="en-US" w:eastAsia="zh-CN"/>
        </w:rPr>
      </w:pPr>
      <w:bookmarkStart w:id="2" w:name="_Toc12837"/>
      <w:r>
        <w:rPr>
          <w:rFonts w:hint="default"/>
          <w:lang w:val="en-US" w:eastAsia="zh-CN"/>
        </w:rPr>
        <w:t>编制目的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健全丰盈云人力资源服务业财一体化管理系统（以下简称“丰盈云系统”）的应急响应机制，提高应对突发故障和安全事件的能力，确保在发生紧急情况时能够快速、有序、高效地组织实施应急处置，最大限度地减少对甲方（安徽益联科技有限公司）业务的影响，保障系统可用性与数据安全，特制定本预案。</w:t>
      </w:r>
    </w:p>
    <w:p>
      <w:pPr>
        <w:pStyle w:val="2"/>
        <w:bidi w:val="0"/>
        <w:rPr>
          <w:rFonts w:hint="default"/>
          <w:lang w:val="en-US" w:eastAsia="zh-CN"/>
        </w:rPr>
      </w:pPr>
      <w:bookmarkStart w:id="3" w:name="_Toc12614"/>
      <w:r>
        <w:rPr>
          <w:rFonts w:hint="default"/>
          <w:lang w:val="en-US" w:eastAsia="zh-CN"/>
        </w:rPr>
        <w:t>编制依据</w:t>
      </w:r>
      <w:bookmarkEnd w:id="3"/>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双方签订的《技术服务合同》。</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《丰盈云人力资源服务业财一体化管理系统技术服务项目交付方案》。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28827.3《信息技术服务 运行维护 第3部分：应急响应规范》。</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公司内部《人员岗位说明书》及相关管理流程。</w:t>
      </w:r>
    </w:p>
    <w:p>
      <w:pPr>
        <w:pStyle w:val="2"/>
        <w:bidi w:val="0"/>
        <w:rPr>
          <w:rFonts w:hint="default"/>
          <w:lang w:val="en-US" w:eastAsia="zh-CN"/>
        </w:rPr>
      </w:pPr>
      <w:bookmarkStart w:id="4" w:name="_Toc10314"/>
      <w:r>
        <w:rPr>
          <w:rFonts w:hint="default"/>
          <w:lang w:val="en-US" w:eastAsia="zh-CN"/>
        </w:rPr>
        <w:t>适用范围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本预案适用于为安徽益联科技有限公司提供的丰盈云系统技术服务项目范围内，发生的各类导致或可能导致系统服务中断、性能严重劣化、数据丢失或安全受损的突发事件。</w:t>
      </w:r>
    </w:p>
    <w:p>
      <w:pPr>
        <w:pStyle w:val="2"/>
        <w:bidi w:val="0"/>
        <w:rPr>
          <w:rFonts w:hint="default"/>
          <w:lang w:val="en-US" w:eastAsia="zh-CN"/>
        </w:rPr>
      </w:pPr>
      <w:bookmarkStart w:id="5" w:name="_Toc16248"/>
      <w:r>
        <w:rPr>
          <w:rFonts w:hint="default"/>
          <w:lang w:val="en-US" w:eastAsia="zh-CN"/>
        </w:rPr>
        <w:t>工作原则</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统一指挥，分级负责：在应急领导小组统一领导下，各小组按职责分工负责。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预防为主，平战结合：加强日常监控、巡检和风险评估，做好应急预案准备。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快速响应，协同处置：确保信息畅通，联动甲方及内外部资源，优先恢复业务。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规范操作，控制影响：严格按照规程操作，防止次生灾害，减少损失。</w:t>
      </w:r>
    </w:p>
    <w:p>
      <w:pPr>
        <w:pStyle w:val="1"/>
        <w:bidi w:val="0"/>
        <w:rPr>
          <w:rFonts w:hint="default"/>
          <w:lang w:val="en-US" w:eastAsia="zh-CN"/>
        </w:rPr>
      </w:pPr>
      <w:bookmarkStart w:id="6" w:name="_Toc14577"/>
      <w:r>
        <w:rPr>
          <w:rFonts w:hint="default"/>
          <w:lang w:val="en-US" w:eastAsia="zh-CN"/>
        </w:rPr>
        <w:t>应急组织体系与职责</w:t>
      </w:r>
      <w:bookmarkEnd w:id="6"/>
    </w:p>
    <w:p>
      <w:pPr>
        <w:pStyle w:val="a1"/>
        <w:rPr>
          <w:rFonts w:hint="default"/>
          <w:lang w:val="en-US" w:eastAsia="zh-CN"/>
        </w:rPr>
      </w:pPr>
      <w:r>
        <w:rPr>
          <w:rFonts w:hint="eastAsia"/>
          <w:lang w:val="en-US" w:eastAsia="zh-CN"/>
        </w:rPr>
        <w:t>应急保障工作的归口部门是应急管理部，根据应急响应需要，可临时成立应急领导小组、应急执行组、应急保障组、应急观察评估组等。</w:t>
      </w:r>
      <w:bookmarkStart w:id="7" w:name="_GoBack"/>
      <w:bookmarkEnd w:id="7"/>
    </w:p>
    <w:p>
      <w:pPr>
        <w:pStyle w:val="2"/>
        <w:bidi w:val="0"/>
        <w:rPr>
          <w:rFonts w:hint="default"/>
          <w:lang w:val="en-US" w:eastAsia="zh-CN"/>
        </w:rPr>
      </w:pPr>
      <w:bookmarkStart w:id="8" w:name="_Toc13417"/>
      <w:r>
        <w:rPr>
          <w:rFonts w:hint="default"/>
          <w:lang w:val="en-US" w:eastAsia="zh-CN"/>
        </w:rPr>
        <w:t>应急领导小组</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组长：运维部经理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副组长：</w:t>
      </w:r>
      <w:r>
        <w:rPr>
          <w:rFonts w:hint="eastAsia"/>
          <w:lang w:val="en-US" w:eastAsia="zh-CN"/>
        </w:rPr>
        <w:t>运维</w:t>
      </w:r>
      <w:r>
        <w:rPr>
          <w:rFonts w:hint="default"/>
          <w:lang w:val="en-US" w:eastAsia="zh-CN"/>
        </w:rPr>
        <w:t>项目经理、质量部经理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职责：决策启动/终止应急响应；指挥协调全面应急工作；批准重大处置方案及资源调配；负责对外（甲方高层）正式沟通。</w:t>
      </w:r>
    </w:p>
    <w:p>
      <w:pPr>
        <w:pStyle w:val="2"/>
        <w:bidi w:val="0"/>
        <w:rPr>
          <w:rFonts w:hint="default"/>
          <w:lang w:val="en-US" w:eastAsia="zh-CN"/>
        </w:rPr>
      </w:pPr>
      <w:bookmarkStart w:id="9" w:name="_Toc23432"/>
      <w:r>
        <w:rPr>
          <w:rFonts w:hint="default"/>
          <w:lang w:val="en-US" w:eastAsia="zh-CN"/>
        </w:rPr>
        <w:t>应急执行组</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组长：现场项目经理（兼任）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核心成员：驻场运维工程师(A/B岗)、二线技术支持专家、备品备件管理员。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职责：执行具体故障诊断、技术恢复、数据修复等操作；落实领导小组指令；实时汇报处置进展。</w:t>
      </w:r>
    </w:p>
    <w:p>
      <w:pPr>
        <w:pStyle w:val="2"/>
        <w:bidi w:val="0"/>
        <w:rPr>
          <w:rFonts w:hint="default"/>
          <w:lang w:val="en-US" w:eastAsia="zh-CN"/>
        </w:rPr>
      </w:pPr>
      <w:bookmarkStart w:id="10" w:name="_Toc26116"/>
      <w:r>
        <w:rPr>
          <w:rFonts w:hint="default"/>
          <w:lang w:val="en-US" w:eastAsia="zh-CN"/>
        </w:rPr>
        <w:t>应急保障组</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组长：采购部经理（资源保障）、综合管理部专员（后勤沟通）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成员：服务台专员、相关采购及行政人员。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职责：保障应急所需备件、设备、交通等资源及时到位；负责内部及与甲方的日常沟通、记录与信息通报；提供后勤支持。</w:t>
      </w:r>
    </w:p>
    <w:p>
      <w:pPr>
        <w:pStyle w:val="2"/>
        <w:bidi w:val="0"/>
        <w:rPr>
          <w:rFonts w:hint="default"/>
          <w:lang w:val="en-US" w:eastAsia="zh-CN"/>
        </w:rPr>
      </w:pPr>
      <w:bookmarkStart w:id="11" w:name="_Toc8635"/>
      <w:r>
        <w:rPr>
          <w:rFonts w:hint="default"/>
          <w:lang w:val="en-US" w:eastAsia="zh-CN"/>
        </w:rPr>
        <w:t>应急观察评估组</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组长：质量部经理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成员：质量管理专员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职责：独立监控应急全过程；记录时间节点与关键操作；评估响应流程符合性与有效性；事后组织复盘并提出改进建议。</w:t>
      </w:r>
    </w:p>
    <w:p>
      <w:pPr>
        <w:pStyle w:val="1"/>
        <w:bidi w:val="0"/>
        <w:rPr>
          <w:rFonts w:hint="default"/>
          <w:lang w:val="en-US" w:eastAsia="zh-CN"/>
        </w:rPr>
      </w:pPr>
      <w:bookmarkStart w:id="12" w:name="_Toc3331"/>
      <w:r>
        <w:rPr>
          <w:rFonts w:hint="default"/>
          <w:lang w:val="en-US" w:eastAsia="zh-CN"/>
        </w:rPr>
        <w:t>预警预防机制</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主动监控：利用运维管理平台对系统性能、资源、日志进行7x24小时监控，设置智能阈值告警。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定期巡检：严格执行周、月、季度巡检计划，识别潜在风险。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健康检查：定期进行备份恢复验证、容灾切换演练。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信息通报：发现潜在高风险预警时，及时向甲方接口人及应急领导小组报告。</w:t>
      </w:r>
    </w:p>
    <w:p>
      <w:pPr>
        <w:pStyle w:val="1"/>
        <w:bidi w:val="0"/>
        <w:rPr>
          <w:rFonts w:hint="default"/>
          <w:lang w:val="en-US" w:eastAsia="zh-CN"/>
        </w:rPr>
      </w:pPr>
      <w:bookmarkStart w:id="13" w:name="_Toc8207"/>
      <w:r>
        <w:rPr>
          <w:rFonts w:hint="default"/>
          <w:lang w:val="en-US" w:eastAsia="zh-CN"/>
        </w:rPr>
        <w:t>应急响应流程</w:t>
      </w:r>
      <w:bookmarkEnd w:id="13"/>
    </w:p>
    <w:p>
      <w:pPr>
        <w:pStyle w:val="2"/>
        <w:bidi w:val="0"/>
        <w:rPr>
          <w:rFonts w:hint="default"/>
          <w:lang w:val="en-US" w:eastAsia="zh-CN"/>
        </w:rPr>
      </w:pPr>
      <w:bookmarkStart w:id="14" w:name="_Toc6060"/>
      <w:r>
        <w:rPr>
          <w:rFonts w:hint="default"/>
          <w:lang w:val="en-US" w:eastAsia="zh-CN"/>
        </w:rPr>
        <w:t>事件分级与响应</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根据事件对业务的影响程度，参照合同及交付方案，分为三级：</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267"/>
        <w:gridCol w:w="1534"/>
        <w:gridCol w:w="1035"/>
        <w:gridCol w:w="2132"/>
        <w:gridCol w:w="253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1267"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事件等级</w:t>
            </w:r>
          </w:p>
        </w:tc>
        <w:tc>
          <w:tcPr>
            <w:tcW w:w="153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定义描述</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目标响应时间</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目标恢复/解决时间</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需通知对象</w:t>
            </w:r>
          </w:p>
        </w:tc>
      </w:tr>
      <w:tr>
        <w:tblPrEx>
          <w:tblW w:w="0" w:type="auto"/>
          <w:tblInd w:w="0" w:type="dxa"/>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一级（重大）</w:t>
            </w:r>
          </w:p>
        </w:tc>
        <w:tc>
          <w:tcPr>
            <w:tcW w:w="153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系统核心功能瘫痪，业务完全中断。</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≤20分钟</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2小时内恢复核心业务，24小时内彻底解决。</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甲方关键接口人及主管、乙方应急领导小组全体、二线专家。</w:t>
            </w:r>
          </w:p>
        </w:tc>
      </w:tr>
      <w:tr>
        <w:tblPrEx>
          <w:tblW w:w="0" w:type="auto"/>
          <w:tblInd w:w="0" w:type="dxa"/>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二级（严重）</w:t>
            </w:r>
          </w:p>
        </w:tc>
        <w:tc>
          <w:tcPr>
            <w:tcW w:w="153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系统性能严重下降，部分业务受影响。</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≤30分钟</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4小时内业务显著改善，24小时内解决。</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甲方接口人、乙方现场项目经理、运维部经理。</w:t>
            </w:r>
          </w:p>
        </w:tc>
      </w:tr>
      <w:tr>
        <w:tblPrEx>
          <w:tblW w:w="0" w:type="auto"/>
          <w:tblInd w:w="0" w:type="dxa"/>
          <w:shd w:val="clear" w:color="auto" w:fill="auto"/>
          <w:tblCellMar>
            <w:top w:w="15" w:type="dxa"/>
            <w:left w:w="15" w:type="dxa"/>
            <w:bottom w:w="15" w:type="dxa"/>
            <w:right w:w="15" w:type="dxa"/>
          </w:tblCellMar>
        </w:tblPrEx>
        <w:tc>
          <w:tcPr>
            <w:tcW w:w="1267"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三级（一般）</w:t>
            </w:r>
          </w:p>
        </w:tc>
        <w:tc>
          <w:tcPr>
            <w:tcW w:w="1534"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局部功能异常，不影响核心业务运行。</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≤1小时</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48小时内解决。</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甲方接口人、乙方现场运维工程师。</w:t>
            </w:r>
          </w:p>
        </w:tc>
      </w:tr>
    </w:tbl>
    <w:p>
      <w:pPr>
        <w:pStyle w:val="2"/>
        <w:bidi w:val="0"/>
        <w:rPr>
          <w:rFonts w:hint="default"/>
          <w:lang w:val="en-US" w:eastAsia="zh-CN"/>
        </w:rPr>
      </w:pPr>
      <w:bookmarkStart w:id="15" w:name="_Toc20548"/>
      <w:r>
        <w:rPr>
          <w:rFonts w:hint="default"/>
          <w:lang w:val="en-US" w:eastAsia="zh-CN"/>
        </w:rPr>
        <w:t>响应启动与处置流程</w:t>
      </w:r>
      <w:bookmarkEnd w:id="15"/>
    </w:p>
    <w:p>
      <w:pPr>
        <w:pStyle w:val="3"/>
        <w:bidi w:val="0"/>
        <w:rPr>
          <w:rFonts w:hint="default"/>
          <w:lang w:val="en-US" w:eastAsia="zh-CN"/>
        </w:rPr>
      </w:pPr>
      <w:bookmarkStart w:id="16" w:name="_Toc29474"/>
      <w:r>
        <w:rPr>
          <w:rFonts w:hint="default"/>
          <w:lang w:val="en-US" w:eastAsia="zh-CN"/>
        </w:rPr>
        <w:t>发现与报告</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监控告警或接到甲方报障。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服务台或首位发现人初步判断，立即按事件等级通知相应责任人（现场项目经理/运维工程师）。</w:t>
      </w:r>
    </w:p>
    <w:p>
      <w:pPr>
        <w:pStyle w:val="3"/>
        <w:bidi w:val="0"/>
        <w:rPr>
          <w:rFonts w:hint="default"/>
          <w:lang w:val="en-US" w:eastAsia="zh-CN"/>
        </w:rPr>
      </w:pPr>
      <w:bookmarkStart w:id="17" w:name="_Toc25542"/>
      <w:r>
        <w:rPr>
          <w:rFonts w:hint="default"/>
          <w:lang w:val="en-US" w:eastAsia="zh-CN"/>
        </w:rPr>
        <w:t>研判与定级</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现场项目经理组织初步诊断，确认事件影响范围，确定事件等级。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如定为一级或二级事件，立即上报乙方应急领导小组组长。</w:t>
      </w:r>
    </w:p>
    <w:p>
      <w:pPr>
        <w:pStyle w:val="3"/>
        <w:bidi w:val="0"/>
        <w:rPr>
          <w:rFonts w:hint="default"/>
          <w:lang w:val="en-US" w:eastAsia="zh-CN"/>
        </w:rPr>
      </w:pPr>
      <w:bookmarkStart w:id="18" w:name="_Toc2194"/>
      <w:r>
        <w:rPr>
          <w:rFonts w:hint="default"/>
          <w:lang w:val="en-US" w:eastAsia="zh-CN"/>
        </w:rPr>
        <w:t>应急启动与指挥</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领导小组组长决策启动相应等级应急响应。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应急执行组、保障组、评估组按预案就位。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现场项目经理作为前线指挥，组织技术处置。</w:t>
      </w:r>
    </w:p>
    <w:p>
      <w:pPr>
        <w:pStyle w:val="3"/>
        <w:bidi w:val="0"/>
        <w:rPr>
          <w:rFonts w:hint="default"/>
          <w:lang w:val="en-US" w:eastAsia="zh-CN"/>
        </w:rPr>
      </w:pPr>
      <w:bookmarkStart w:id="19" w:name="_Toc28347"/>
      <w:r>
        <w:rPr>
          <w:rFonts w:hint="default"/>
          <w:lang w:val="en-US" w:eastAsia="zh-CN"/>
        </w:rPr>
        <w:t>处置与恢复</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执行组：根据《专项应急处置技术方案》（附件），执行隔离、修复、切换、恢复等操作。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保障组：协调备件、供应商支持等资源。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沟通主线：现场项目经理 → 乙方领导小组 → 甲方接口人。保持信息同步，每小时至少更新一次进展。</w:t>
      </w:r>
    </w:p>
    <w:p>
      <w:pPr>
        <w:pStyle w:val="3"/>
        <w:bidi w:val="0"/>
        <w:rPr>
          <w:rFonts w:hint="default"/>
          <w:lang w:val="en-US" w:eastAsia="zh-CN"/>
        </w:rPr>
      </w:pPr>
      <w:bookmarkStart w:id="20" w:name="_Toc21641"/>
      <w:r>
        <w:rPr>
          <w:rFonts w:hint="default"/>
          <w:lang w:val="en-US" w:eastAsia="zh-CN"/>
        </w:rPr>
        <w:t>应急终止</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系统核心业务恢复稳定运行，经评估主要风险已解除。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由应急领导小组组长宣布应急响应终止。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转入常态维护及后续优化阶段。</w:t>
      </w:r>
    </w:p>
    <w:p>
      <w:pPr>
        <w:pStyle w:val="1"/>
        <w:bidi w:val="0"/>
        <w:rPr>
          <w:rFonts w:hint="default"/>
          <w:lang w:val="en-US" w:eastAsia="zh-CN"/>
        </w:rPr>
      </w:pPr>
      <w:bookmarkStart w:id="21" w:name="_Toc22640"/>
      <w:r>
        <w:rPr>
          <w:rFonts w:hint="default"/>
          <w:lang w:val="en-US" w:eastAsia="zh-CN"/>
        </w:rPr>
        <w:t>后期处置</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事件复盘：应急终止后3个工作日内，由质量部牵头组织复盘会议，进行根本原因分析。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一级事件：24小时内提交《重大故障分析报告》。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二级事件：事件处理后提交详细事件记录。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报告内容需包含事件概述、处理过程、根因分析、改进措施。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预案修订：根据复盘结论，由运维部负责修订本预案及相关技术方案。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文档归档：所有应急过程记录、报告存入项目知识库。</w:t>
      </w:r>
    </w:p>
    <w:p>
      <w:pPr>
        <w:pStyle w:val="1"/>
        <w:bidi w:val="0"/>
        <w:rPr>
          <w:rFonts w:hint="default"/>
          <w:lang w:val="en-US" w:eastAsia="zh-CN"/>
        </w:rPr>
      </w:pPr>
      <w:bookmarkStart w:id="22" w:name="_Toc29236"/>
      <w:r>
        <w:rPr>
          <w:rFonts w:hint="default"/>
          <w:lang w:val="en-US" w:eastAsia="zh-CN"/>
        </w:rPr>
        <w:t>保障措施</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人员保障：确保关键岗位A/B角，联系方式常备，并定期培训。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技术保障：维护详尽的系统架构图、配置文档；建立二线/三线专家支持名单。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资源保障：确保现场备件库清单有效，与采购部建立紧急采购绿色通道。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通讯保障：明确应急通讯录（甲方、乙方团队、供应商），并定期更新测试。</w:t>
      </w:r>
    </w:p>
    <w:p>
      <w:pPr>
        <w:pStyle w:val="1"/>
        <w:bidi w:val="0"/>
        <w:rPr>
          <w:rFonts w:hint="default"/>
          <w:lang w:val="en-US" w:eastAsia="zh-CN"/>
        </w:rPr>
      </w:pPr>
      <w:bookmarkStart w:id="23" w:name="_Toc9264"/>
      <w:r>
        <w:rPr>
          <w:rFonts w:hint="default"/>
          <w:lang w:val="en-US" w:eastAsia="zh-CN"/>
        </w:rPr>
        <w:t>预案管理</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评审与更新：本预案每年至少评审一次。发生重大变更、演练后发现重大缺陷后应及时更新。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培训与演练：所有相关员工必须接受预案培训。每年至少组织一次综合应急演练，检验预案有效性（参见《应急演练大纲》）。</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发布与生效：本预案经批准后发布，自发布之日起生效。</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C5A6A9A1"/>
    <w:multiLevelType w:val="singleLevel"/>
    <w:tmpl w:val="C5A6A9A1"/>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8</Pages>
  <Words>1505</Words>
  <Characters>1645</Characters>
  <Application>Microsoft Office Word</Application>
  <DocSecurity>0</DocSecurity>
  <Lines>0</Lines>
  <Paragraphs>0</Paragraphs>
  <ScaleCrop>false</ScaleCrop>
  <Company/>
  <LinksUpToDate>false</LinksUpToDate>
  <CharactersWithSpaces>1739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