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8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</w:t>
      </w: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-应急演练报告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_Toc15028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阶段目标完成情况</w:t>
          </w:r>
          <w:r>
            <w:tab/>
          </w:r>
          <w:r>
            <w:fldChar w:fldCharType="begin"/>
          </w:r>
          <w:r>
            <w:instrText xml:space="preserve"> PAGEREF _Toc7685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分阶段实施内容总结</w:t>
          </w:r>
          <w:r>
            <w:tab/>
          </w:r>
          <w:r>
            <w:fldChar w:fldCharType="begin"/>
          </w:r>
          <w:r>
            <w:instrText xml:space="preserve"> PAGEREF _Toc3033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项目启动与团队入驻（已完成）</w:t>
          </w:r>
          <w:r>
            <w:tab/>
          </w:r>
          <w:r>
            <w:fldChar w:fldCharType="begin"/>
          </w:r>
          <w:r>
            <w:instrText xml:space="preserve"> PAGEREF _Toc8247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服务交接与基线建立（已完成）</w:t>
          </w:r>
          <w:r>
            <w:tab/>
          </w:r>
          <w:r>
            <w:fldChar w:fldCharType="begin"/>
          </w:r>
          <w:r>
            <w:instrText xml:space="preserve"> PAGEREF _Toc6655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标准化运维服务执行（持续进行，状态稳定）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日常运维：</w:t>
          </w:r>
          <w:r>
            <w:tab/>
          </w:r>
          <w:r>
            <w:fldChar w:fldCharType="begin"/>
          </w:r>
          <w:r>
            <w:instrText xml:space="preserve"> PAGEREF _Toc30345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资源投入与保障措施落实情况</w:t>
          </w:r>
          <w:r>
            <w:tab/>
          </w:r>
          <w:r>
            <w:fldChar w:fldCharType="begin"/>
          </w:r>
          <w:r>
            <w:instrText xml:space="preserve"> PAGEREF _Toc22903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风险应对与待改进事项</w:t>
          </w:r>
          <w:r>
            <w:tab/>
          </w:r>
          <w:r>
            <w:fldChar w:fldCharType="begin"/>
          </w:r>
          <w:r>
            <w:instrText xml:space="preserve"> PAGEREF _Toc23690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已应对的风险</w:t>
          </w:r>
          <w:r>
            <w:tab/>
          </w:r>
          <w:r>
            <w:fldChar w:fldCharType="begin"/>
          </w:r>
          <w:r>
            <w:instrText xml:space="preserve"> PAGEREF _Toc13672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待改进事项与后续计划</w:t>
          </w:r>
          <w:r>
            <w:tab/>
          </w:r>
          <w:r>
            <w:fldChar w:fldCharType="begin"/>
          </w:r>
          <w:r>
            <w:instrText xml:space="preserve"> PAGEREF _Toc4987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下一阶段重点工作计划</w:t>
          </w:r>
          <w:r>
            <w:tab/>
          </w:r>
          <w:r>
            <w:fldChar w:fldCharType="begin"/>
          </w:r>
          <w:r>
            <w:instrText xml:space="preserve"> PAGEREF _Toc21104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演练基本情况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根据《丰盈云人力资源服务业财一体化管理系统技术服务项目-应急演练计划》的安排，公司于2025年9月26日下午成功组织了本年度综合应急演练。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名称为“丰盈云系统2025年度综合应急演练”，性质为模拟实战、部分场景无预警突击演练。演练严格遵循《应急演练大纲》和《应急预案》的指导原则与流程要求，旨在全面检验项目团队的应急响应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核心场景选定为“核心数据库服务中断（一级故障）”，模拟生产数据库主实例宕机的严重事件，以考验团队在高压下的流程执行、技术处置与协同配合能力。演练于2025年9月26日14:00准时开始，至17:00结束，历时三小时。参与演练的人员包括运维部、质量部、采购部及综合管理部的相关人员，严格按照预案中定义的应急领导小组、执行组、保障组和观察评估组角色就位并开展工作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演练目标达成情况评估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本次演练紧密围绕《应急演练计划》中设定的五项具体目标展开，各项达成情况评估如下：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验证目标完全达成。演练完整执行了从故障监控发现/服务台接报、初步研判、定级上报、启动应急响应、技术处置恢复、到最终终止响应的全流程。各环节衔接顺畅，角色职责清晰，验证了应急预案主流程的有效性与可操作性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标目标完全达成。针对模拟的一级故障，预案规定的目标恢复时间为2小时内。本次演练从故障注入（14:00）到模拟业务恢复确认（16:15），总计用时2小时15分钟，虽略有延时，但仍在可控范围内，基本符合合同与SLA的严格要求，达到了检验时效性能力的预期目的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团队协同目标基本达成。跨部门、跨角色的协同机制总体运行有效。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的指挥、二线专家的远程技术支持、保障组的资源协调以及领导小组的决策链条清晰。但在高强度压力下，部分非关键信息的内部传递效率有提升空间，未对整体处置造成影响。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实操目标完全达成。应急执行组成功按照《应急预案》附件中的技术方案，在测试环境中完成了“数据库备库接管”的全套实操。操作步骤规范，关键指令和结果均有记录，有效锻炼了技术人员对预案的熟悉度和实际操作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文档记录目标：完全达成。观察评估组全程跟踪记录，生成的《应急演练过程记录表》完整、准确，涵盖了所有关键时间节点、操作动作、沟通内容和决策点。为本次评估和后续复盘提供了扎实的依据。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演练组织与执行情况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组织架构与角色职责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演练的组织架构严格依照《应急预案》第2章“应急组织体系与职责”搭建，各小组职责明确，执行到位：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应急领导小组由运维部经理担任组长，负责整体指挥与关键决策，演练中决策迅速，信息通报流程执行严谨。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应急执行组由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担任前线指挥，驻场运维工程师与远程二线专家紧密配合，技术操作规范，问题定位准确。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应急保障组有效模拟了服务台接报、内部沟通协调及资源支持等环节，确保了应急过程的资源与信息链路畅通。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应急观察评估组独立于执行体系外开展工作，全程监控、记录，并进行了初步评估，确保了演练的客观性与有效性。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演练阶段执行摘要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本次演练严格按计划分为三个阶段执行：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准备与启动阶段（13:30-14:00）：全体参演人员准时集结，召开简短启动会，再次明确演练目标、场景、角色分工和安全纪律。观察评估组完成准备工作。本阶段于13:50完成，为演练顺利开始奠定了基础。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注入与应急响应阶段（14:00-16:30）：此为核心阶段。观察评估组于14:00准时注入数据库故障。各小组随即进入应急状态，依次完成故障发现、报告、研判定级（一级）、启动预案、技术处置（备库接管）、业务恢复验证等动作，并于16:20由领导小组宣布应急响应终止。全过程紧张有序，基本还原了真实应急状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复盘阶段（16:30-17:00）：全体人员在演练结束后立即进行复盘。各小组首先进行自评，分享感受与发现；随后观察评估组汇报了初步的关键计时记录与观察印象；最后领导小组进行总结，肯定成绩，指出改进方向，并正式结束演练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演练过程关键节点记录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以下为演练过程中的关键节点摘要，详细记录见附件《应急演练过程记录表》：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14:00：观察评估组在测试环境模拟数据库主实例宕机，故障正式注入。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14:05：监控平台告警触发，保障组（服务台专员）模拟接到系统不可用报警，并立即记录、通知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14:18：应急执行组（运维工程师）完成初步诊断，判定为数据库服务不可用，影响核心业务，确认为一级故障，并报告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14:22：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立即上报应急领导小组组长，建议启动一级应急响应。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14:30：应急领导小组组长批准启动一级应急响应。各应急小组依据预案正式激活，进入战时状态。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14:40 - 16:00：应急执行组在二线专家远程指导下，严格执行“数据库备库接管”技术方案，进行数据一致性检查、服务切换等一系列操作。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16:15：执行组模拟确认备库接管成功，核心业务功能恢复，并将结果报告前线指挥与领导小组。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16:20：应急领导小组组长根据恢复情况，决策并宣布终止一级应急响应。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16:40：全体参演人员开始进行演练后复盘会议。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问题与改进建议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通过演练，也暴露出一些可供改进的环节：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初步研判时效性可进一步提升：从故障发生到完成初步研判并定级，耗时18分钟，虽在SLA要求内，但仍有优化空间。反映出对特定类型严重故障的快速诊断流程熟练度有待加强。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压力下沟通效率可优化：在应急响应启动后的高压力时段，部分非技术性协调沟通存在重复确认情况，沟通渠道和话术的精准度可进一步标准化。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部分保障流程未得到实战检验：由于本次为逻辑故障场景，应急预案中涉及备品备件紧急调用、供应商协同等保障流程未能在本次演练中触发和验证。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针对以上问题，提出以下改进建议：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开展专项诊断培训：由运维部牵头，组织针对核心数据库、网络等重点组件的一级故障特征与快速诊断手册的专项培训与考核，力争将初步研判时间缩短至15分钟内。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优化应急沟通模板：由质量部协助，梳理并固化不同应急等级下的内部、对外（甲方）沟通模板与关键话术，组织模拟演练，确保信息传达简洁、准确、高效。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规划多场景演练：在后续的演练计划中，纳入硬件故障、第三方服务中断等需调动采购、备件资源的场景，全面检验应急保障体系的响应能力。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结论与后续工作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“丰盈云系统2025年度综合应急演练”组织严密、执行顺利，基本达到了检验预案、锻炼团队、提升意识的核心目的。演练证明，现有的应急组织体系是有效的，主流程是畅通的，团队具备基本的协同处置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，运维部将牵头，根据本报告及复盘会议的详细结论，在两周内制定具体的改进措施落实计划，并更新至《应急预案》及相关操作手册中。质量部将对改进措施的落实情况进行跟踪验证。本次演练的全部记录与报告将正式归档，作为项目服务质量持续改进的重要依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default"/>
          <w:lang w:val="en-US" w:eastAsia="zh-CN"/>
        </w:rPr>
        <w:t>附件清单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《应急演练过程记录表》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《应急演练评估表》（观察评估组）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数据库备库接管操作日志（模拟）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5A6B29"/>
    <w:multiLevelType w:val="singleLevel"/>
    <w:tmpl w:val="BE5A6B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6969B3"/>
    <w:multiLevelType w:val="singleLevel"/>
    <w:tmpl w:val="116969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1A4B2E0"/>
    <w:multiLevelType w:val="singleLevel"/>
    <w:tmpl w:val="41A4B2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1690</Words>
  <Characters>1812</Characters>
  <Application>Microsoft Office Word</Application>
  <DocSecurity>0</DocSecurity>
  <Lines>0</Lines>
  <Paragraphs>0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2026-01-15T01:57:48Z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