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4687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3005"/>
      <w:r>
        <w:rPr>
          <w:rFonts w:hint="eastAsia"/>
          <w:lang w:val="en-US" w:eastAsia="zh-CN"/>
        </w:rPr>
        <w:t>运维服务能力管理指标体系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_Toc14687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_Toc14687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_Toc23005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运维服务能力管理指标体系</w:t>
          </w:r>
          <w:r>
            <w:tab/>
          </w:r>
          <w:r>
            <w:fldChar w:fldCharType="begin"/>
          </w:r>
          <w:r>
            <w:instrText xml:space="preserve"> PAGEREF _Toc23005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pStyle w:val="a1"/>
        <w:bidi w:val="0"/>
        <w:ind w:left="0" w:right="0" w:firstLine="0" w:leftChars="0" w:rightChars="0" w:firstLineChars="0"/>
        <w:jc w:val="center"/>
        <w:rPr>
          <w:rFonts w:hint="eastAsia"/>
          <w:b/>
          <w:bCs/>
          <w:lang w:val="en-US" w:eastAsia="zh-CN"/>
        </w:rPr>
      </w:pPr>
      <w:r>
        <w:rPr>
          <w:lang w:val="en-US" w:eastAsia="en-US"/>
        </w:rPr>
        <w:br w:type="page"/>
      </w:r>
      <w:r>
        <w:rPr>
          <w:rFonts w:hint="eastAsia"/>
          <w:b/>
          <w:bCs/>
          <w:lang w:val="en-US" w:eastAsia="zh-CN"/>
        </w:rPr>
        <w:t>运维服务能力指标体系</w:t>
      </w:r>
    </w:p>
    <w:tbl>
      <w:tblPr>
        <w:tblStyle w:val="TableNormal"/>
        <w:tblW w:w="9894" w:type="dxa"/>
        <w:tblInd w:w="-43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"/>
        <w:gridCol w:w="1366"/>
        <w:gridCol w:w="1561"/>
        <w:gridCol w:w="3148"/>
        <w:gridCol w:w="940"/>
        <w:gridCol w:w="880"/>
        <w:gridCol w:w="1093"/>
      </w:tblGrid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/>
        </w:trPr>
        <w:tc>
          <w:tcPr>
            <w:tcW w:w="22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21"/>
                <w:szCs w:val="21"/>
              </w:rPr>
              <w:t>名称</w:t>
            </w:r>
          </w:p>
        </w:tc>
        <w:tc>
          <w:tcPr>
            <w:tcW w:w="15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21"/>
                <w:szCs w:val="21"/>
              </w:rPr>
              <w:t>KPI</w:t>
            </w:r>
          </w:p>
        </w:tc>
        <w:tc>
          <w:tcPr>
            <w:tcW w:w="31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21"/>
                <w:szCs w:val="21"/>
              </w:rPr>
              <w:t>计算公式/方法</w:t>
            </w:r>
          </w:p>
        </w:tc>
        <w:tc>
          <w:tcPr>
            <w:tcW w:w="9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21"/>
                <w:szCs w:val="21"/>
              </w:rPr>
              <w:t>频度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eastAsia="宋体" w:hAnsi="仿宋" w:cs="宋体" w:hint="eastAsia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21"/>
                <w:szCs w:val="21"/>
              </w:rPr>
              <w:t>目标值</w:t>
            </w:r>
          </w:p>
        </w:tc>
        <w:tc>
          <w:tcPr>
            <w:tcW w:w="109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21"/>
                <w:szCs w:val="21"/>
              </w:rPr>
              <w:t>责任部门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/>
        </w:trPr>
        <w:tc>
          <w:tcPr>
            <w:tcW w:w="227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000000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人员管理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人员储备完成率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（实际人数/计划储备人数）*100%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综合管理部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/>
        </w:trPr>
        <w:tc>
          <w:tcPr>
            <w:tcW w:w="2272" w:type="dxa"/>
            <w:gridSpan w:val="2"/>
            <w:vMerge/>
            <w:tcBorders>
              <w:left w:val="single" w:sz="8" w:space="0" w:color="auto"/>
              <w:right w:val="single" w:sz="8" w:space="0" w:color="000000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5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培训课程达成率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（累计培训课程数/计划培训课程数）*100%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综合管理部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/>
        </w:trPr>
        <w:tc>
          <w:tcPr>
            <w:tcW w:w="2272" w:type="dxa"/>
            <w:gridSpan w:val="2"/>
            <w:vMerge/>
            <w:tcBorders>
              <w:left w:val="single" w:sz="8" w:space="0" w:color="auto"/>
              <w:right w:val="single" w:sz="8" w:space="0" w:color="000000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5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人员招聘完成率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（实际到岗人数/计划招聘人数）*100%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综合管理部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/>
        </w:trPr>
        <w:tc>
          <w:tcPr>
            <w:tcW w:w="2272" w:type="dxa"/>
            <w:gridSpan w:val="2"/>
            <w:vMerge/>
            <w:tcBorders>
              <w:left w:val="single" w:sz="8" w:space="0" w:color="auto"/>
              <w:right w:val="single" w:sz="8" w:space="0" w:color="000000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5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绩效考核合格率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（考核合格人数/考核总人数）*100%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综合管理部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/>
        </w:trPr>
        <w:tc>
          <w:tcPr>
            <w:tcW w:w="2272" w:type="dxa"/>
            <w:gridSpan w:val="2"/>
            <w:vMerge/>
            <w:tcBorders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5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技能评定合格率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（技能评定合格人数/技能评定总人数）*100%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综合管理部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/>
        </w:trPr>
        <w:tc>
          <w:tcPr>
            <w:tcW w:w="22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技术管理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研发资金投入率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（实际投入资金/计划投入资金）*100%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技术中心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/>
        </w:trPr>
        <w:tc>
          <w:tcPr>
            <w:tcW w:w="906" w:type="dxa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资源管理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工具</w:t>
            </w:r>
          </w:p>
        </w:tc>
        <w:tc>
          <w:tcPr>
            <w:tcW w:w="1561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工具自评估次数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数量，运维工具自评估报告数量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/>
        </w:trPr>
        <w:tc>
          <w:tcPr>
            <w:tcW w:w="906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服务台</w:t>
            </w:r>
          </w:p>
        </w:tc>
        <w:tc>
          <w:tcPr>
            <w:tcW w:w="1561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一线问题解决率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一线服务台直接关闭的工单数/考核期内服务台接收到的总工单数×100%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服务台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906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备件库</w:t>
            </w:r>
          </w:p>
        </w:tc>
        <w:tc>
          <w:tcPr>
            <w:tcW w:w="1561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关键备件可用率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(1-考核期内关键备件缺货次数 / 考核期内关键备件总需求次数)*100%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采购部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/>
        </w:trPr>
        <w:tc>
          <w:tcPr>
            <w:tcW w:w="906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服务知识</w:t>
            </w:r>
          </w:p>
        </w:tc>
        <w:tc>
          <w:tcPr>
            <w:tcW w:w="156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服务知识利用率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（引用知识库解决的工单数/考核期内工单总数）*100%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≥50%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服务台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/>
        </w:trPr>
        <w:tc>
          <w:tcPr>
            <w:tcW w:w="906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56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服务知识新增条目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数量，每季度新录入的服务知识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30条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服务台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/>
        </w:trPr>
        <w:tc>
          <w:tcPr>
            <w:tcW w:w="906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最终软件库</w:t>
            </w:r>
          </w:p>
        </w:tc>
        <w:tc>
          <w:tcPr>
            <w:tcW w:w="156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软件版本一致率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（生产环境中与最终软件库版本一致的组件数/发布版本总数）*100%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技术中心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/>
        </w:trPr>
        <w:tc>
          <w:tcPr>
            <w:tcW w:w="906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服务数据</w:t>
            </w:r>
          </w:p>
        </w:tc>
        <w:tc>
          <w:tcPr>
            <w:tcW w:w="156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服务数据准确率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（1 - 考核期内发现的数据错误记录数 / 抽样检查的总数据记录数）* 100%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≥98%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/>
        </w:trPr>
        <w:tc>
          <w:tcPr>
            <w:tcW w:w="9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过程管理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过程框架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自评估次数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数量，每年对过程框架进行分析的次数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≥1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/>
        </w:trPr>
        <w:tc>
          <w:tcPr>
            <w:tcW w:w="90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服务级别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SLA达成率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(满足服务级别的事件数/事件总数)*100%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/>
        </w:trPr>
        <w:tc>
          <w:tcPr>
            <w:tcW w:w="90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服务报告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服务报告提交及时率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按时提交的服务报告数量/应提交的服务报告总数)×100%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90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事件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事件响应及时率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(规定时间内响应的事件数/事件总数)×100%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/>
        </w:trPr>
        <w:tc>
          <w:tcPr>
            <w:tcW w:w="90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事件按时解决率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规定时间内成功解决的事件数/事件总数×100%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90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问题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问题解决率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实际解决的问题数/问题总数×100 %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90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变更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变更成功率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(变</w:t>
            </w: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更</w:t>
            </w:r>
            <w:bookmarkStart w:id="2" w:name="_GoBack"/>
            <w:bookmarkEnd w:id="2"/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成功次数/变更总次数)×100%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90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发布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发布成功率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(发布成功次数/发布总次数)×100%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90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配置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配置准确率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(准确配置次数/配置总次数)×100%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/>
        </w:trPr>
        <w:tc>
          <w:tcPr>
            <w:tcW w:w="90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可用性和连续性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关键服务可用率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(服务约定运行时间-服务不可用时间)/服务约定运行时间×100%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90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服务中断事件数量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统计期内导致服务不可用的事件发生次数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/>
        </w:trPr>
        <w:tc>
          <w:tcPr>
            <w:tcW w:w="90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容量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容量事件次数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因容量不足导致的服务事件数量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9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信息安全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信息泄露次数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客户信息泄露的事件次数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≤2次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交付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交付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交付及时率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及时交付数量/总交付数量*100%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/>
        </w:trPr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应急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应急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应急演练次数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数量，应急演练报告数量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/>
        </w:trPr>
        <w:tc>
          <w:tcPr>
            <w:tcW w:w="9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质量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客户满意度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总体满意度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  <w:t>∑（样本数*对应分值*权重）/（样本总数*100）*100%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质量部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/>
        </w:trPr>
        <w:tc>
          <w:tcPr>
            <w:tcW w:w="90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内审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内审次数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数量，内审报告数量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质量部</w:t>
            </w:r>
          </w:p>
        </w:tc>
      </w:tr>
      <w:tr>
        <w:tblPrEx>
          <w:tblW w:w="9894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/>
        </w:trPr>
        <w:tc>
          <w:tcPr>
            <w:tcW w:w="9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管评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管评次数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数量，管评报告数量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质量部</w:t>
            </w:r>
          </w:p>
        </w:tc>
      </w:tr>
    </w:tbl>
    <w:p>
      <w:pPr>
        <w:pStyle w:val="a1"/>
        <w:bidi w:val="0"/>
        <w:ind w:left="0" w:right="0" w:firstLine="0" w:leftChars="0" w:rightChars="0" w:firstLineChars="0"/>
        <w:jc w:val="both"/>
        <w:rPr>
          <w:rFonts w:hint="default"/>
          <w:b/>
          <w:bCs/>
          <w:lang w:val="en-US" w:eastAsia="zh-CN"/>
        </w:rPr>
      </w:pP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1274</Words>
  <Characters>1463</Characters>
  <Application>Microsoft Office Word</Application>
  <DocSecurity>0</DocSecurity>
  <Lines>0</Lines>
  <Paragraphs>0</Paragraphs>
  <ScaleCrop>false</ScaleCrop>
  <Company/>
  <LinksUpToDate>false</LinksUpToDate>
  <CharactersWithSpaces>1477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2026-01-15T08:12:50Z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