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4224"/>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天津图云智能科技有限公司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7843"/>
      <w:r>
        <w:rPr>
          <w:rFonts w:hint="eastAsia"/>
          <w:lang w:val="en-US" w:eastAsia="zh-CN"/>
        </w:rPr>
        <w:t>运维服务能力管理报告</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TJTY</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3</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5</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2025.11.30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2025.11.30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粱学敏</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2025.11.30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2025.11.</w:t>
            </w:r>
            <w:r>
              <w:rPr>
                <w:rFonts w:ascii="宋体" w:hAnsi="宋体" w:cs="宋体" w:hint="eastAsia"/>
                <w:spacing w:val="3"/>
                <w:position w:val="1"/>
                <w:sz w:val="20"/>
                <w:szCs w:val="20"/>
                <w:lang w:val="en-US" w:eastAsia="zh-CN"/>
              </w:rPr>
              <w:t>30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粱学敏</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_Toc14224 </w:instrText>
          </w:r>
          <w:r>
            <w:rPr>
              <w:rFonts w:ascii="宋体" w:eastAsia="宋体" w:hAnsi="宋体" w:cs="宋体" w:hint="eastAsia"/>
              <w:szCs w:val="24"/>
            </w:rPr>
            <w:fldChar w:fldCharType="separate"/>
          </w:r>
          <w:r>
            <w:rPr>
              <w:rFonts w:hint="eastAsia"/>
              <w:lang w:val="en-US" w:eastAsia="zh-CN"/>
            </w:rPr>
            <w:t>天津图云智能科技有限公司</w:t>
          </w:r>
          <w:r>
            <w:tab/>
          </w:r>
          <w:r>
            <w:fldChar w:fldCharType="begin"/>
          </w:r>
          <w:r>
            <w:instrText xml:space="preserve"> PAGEREF _Toc14224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_Toc7843 </w:instrText>
          </w:r>
          <w:r>
            <w:rPr>
              <w:rFonts w:ascii="宋体" w:eastAsia="宋体" w:hAnsi="宋体" w:cs="宋体" w:hint="eastAsia"/>
              <w:szCs w:val="24"/>
            </w:rPr>
            <w:fldChar w:fldCharType="separate"/>
          </w:r>
          <w:r>
            <w:rPr>
              <w:rFonts w:hint="eastAsia"/>
              <w:lang w:val="en-US" w:eastAsia="zh-CN"/>
            </w:rPr>
            <w:t>运维服务能力管理报告</w:t>
          </w:r>
          <w:r>
            <w:tab/>
          </w:r>
          <w:r>
            <w:fldChar w:fldCharType="begin"/>
          </w:r>
          <w:r>
            <w:instrText xml:space="preserve"> PAGEREF _Toc7843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_Toc20394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运维服务能力管理报告</w:t>
          </w:r>
          <w:r>
            <w:tab/>
          </w:r>
          <w:r>
            <w:fldChar w:fldCharType="begin"/>
          </w:r>
          <w:r>
            <w:instrText xml:space="preserve"> PAGEREF _Toc20394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_Toc516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人员管理报告</w:t>
          </w:r>
          <w:r>
            <w:tab/>
          </w:r>
          <w:r>
            <w:fldChar w:fldCharType="begin"/>
          </w:r>
          <w:r>
            <w:instrText xml:space="preserve"> PAGEREF _Toc516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_Toc29208 </w:instrText>
          </w:r>
          <w:r>
            <w:rPr>
              <w:rFonts w:ascii="宋体" w:eastAsia="宋体" w:hAnsi="宋体" w:cs="宋体" w:hint="eastAsia"/>
              <w:szCs w:val="24"/>
            </w:rPr>
            <w:fldChar w:fldCharType="separate"/>
          </w:r>
          <w:r>
            <w:rPr>
              <w:rFonts w:hint="default"/>
              <w:lang w:val="en-US" w:eastAsia="zh-CN"/>
            </w:rPr>
            <w:t xml:space="preserve">1.1.1. </w:t>
          </w:r>
          <w:r>
            <w:rPr>
              <w:rFonts w:hint="eastAsia"/>
              <w:lang w:val="en-US" w:eastAsia="zh-CN"/>
            </w:rPr>
            <w:t>人员招聘管理报告</w:t>
          </w:r>
          <w:r>
            <w:tab/>
          </w:r>
          <w:r>
            <w:fldChar w:fldCharType="begin"/>
          </w:r>
          <w:r>
            <w:instrText xml:space="preserve"> PAGEREF _Toc29208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_Toc17956 </w:instrText>
          </w:r>
          <w:r>
            <w:rPr>
              <w:rFonts w:ascii="宋体" w:eastAsia="宋体" w:hAnsi="宋体" w:cs="宋体" w:hint="eastAsia"/>
              <w:szCs w:val="24"/>
            </w:rPr>
            <w:fldChar w:fldCharType="separate"/>
          </w:r>
          <w:r>
            <w:rPr>
              <w:rFonts w:hint="default"/>
              <w:lang w:val="en-US" w:eastAsia="zh-CN"/>
            </w:rPr>
            <w:t xml:space="preserve">1.1.2. </w:t>
          </w:r>
          <w:r>
            <w:rPr>
              <w:rFonts w:hint="eastAsia"/>
              <w:lang w:val="en-US" w:eastAsia="zh-CN"/>
            </w:rPr>
            <w:t>人员储备管理报告</w:t>
          </w:r>
          <w:r>
            <w:tab/>
          </w:r>
          <w:r>
            <w:fldChar w:fldCharType="begin"/>
          </w:r>
          <w:r>
            <w:instrText xml:space="preserve"> PAGEREF _Toc17956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_Toc28697 </w:instrText>
          </w:r>
          <w:r>
            <w:rPr>
              <w:rFonts w:ascii="宋体" w:eastAsia="宋体" w:hAnsi="宋体" w:cs="宋体" w:hint="eastAsia"/>
              <w:szCs w:val="24"/>
            </w:rPr>
            <w:fldChar w:fldCharType="separate"/>
          </w:r>
          <w:r>
            <w:rPr>
              <w:rFonts w:hint="default"/>
              <w:lang w:val="en-US" w:eastAsia="zh-CN"/>
            </w:rPr>
            <w:t xml:space="preserve">1.1.3. </w:t>
          </w:r>
          <w:r>
            <w:rPr>
              <w:rFonts w:hint="eastAsia"/>
              <w:lang w:val="en-US" w:eastAsia="zh-CN"/>
            </w:rPr>
            <w:t>人员绩效考核管理报告</w:t>
          </w:r>
          <w:r>
            <w:tab/>
          </w:r>
          <w:r>
            <w:fldChar w:fldCharType="begin"/>
          </w:r>
          <w:r>
            <w:instrText xml:space="preserve"> PAGEREF _Toc28697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_Toc1826 </w:instrText>
          </w:r>
          <w:r>
            <w:rPr>
              <w:rFonts w:ascii="宋体" w:eastAsia="宋体" w:hAnsi="宋体" w:cs="宋体" w:hint="eastAsia"/>
              <w:szCs w:val="24"/>
            </w:rPr>
            <w:fldChar w:fldCharType="separate"/>
          </w:r>
          <w:r>
            <w:rPr>
              <w:rFonts w:hint="default"/>
              <w:lang w:val="en-US" w:eastAsia="zh-CN"/>
            </w:rPr>
            <w:t xml:space="preserve">1.1.4. </w:t>
          </w:r>
          <w:r>
            <w:rPr>
              <w:rFonts w:hint="eastAsia"/>
              <w:lang w:val="en-US" w:eastAsia="zh-CN"/>
            </w:rPr>
            <w:t>人员技能评定管理报告</w:t>
          </w:r>
          <w:r>
            <w:tab/>
          </w:r>
          <w:r>
            <w:fldChar w:fldCharType="begin"/>
          </w:r>
          <w:r>
            <w:instrText xml:space="preserve"> PAGEREF _Toc1826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_Toc11711 </w:instrText>
          </w:r>
          <w:r>
            <w:rPr>
              <w:rFonts w:ascii="宋体" w:eastAsia="宋体" w:hAnsi="宋体" w:cs="宋体" w:hint="eastAsia"/>
              <w:szCs w:val="24"/>
            </w:rPr>
            <w:fldChar w:fldCharType="separate"/>
          </w:r>
          <w:r>
            <w:rPr>
              <w:rFonts w:hint="default"/>
              <w:lang w:val="en-US" w:eastAsia="zh-CN"/>
            </w:rPr>
            <w:t xml:space="preserve">1.1.5. </w:t>
          </w:r>
          <w:r>
            <w:rPr>
              <w:rFonts w:hint="eastAsia"/>
              <w:lang w:val="en-US" w:eastAsia="zh-CN"/>
            </w:rPr>
            <w:t>人员培训管理报告</w:t>
          </w:r>
          <w:r>
            <w:tab/>
          </w:r>
          <w:r>
            <w:fldChar w:fldCharType="begin"/>
          </w:r>
          <w:r>
            <w:instrText xml:space="preserve"> PAGEREF _Toc11711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_Toc14189 </w:instrText>
          </w:r>
          <w:r>
            <w:rPr>
              <w:rFonts w:ascii="宋体" w:eastAsia="宋体" w:hAnsi="宋体" w:cs="宋体" w:hint="eastAsia"/>
              <w:szCs w:val="24"/>
            </w:rPr>
            <w:fldChar w:fldCharType="separate"/>
          </w:r>
          <w:r>
            <w:rPr>
              <w:rFonts w:hint="default"/>
              <w:lang w:val="en-US" w:eastAsia="zh-CN"/>
            </w:rPr>
            <w:t xml:space="preserve">1.1.6. </w:t>
          </w:r>
          <w:r>
            <w:rPr>
              <w:rFonts w:hint="eastAsia"/>
              <w:lang w:val="en-US" w:eastAsia="zh-CN"/>
            </w:rPr>
            <w:t>人员备份管理报告</w:t>
          </w:r>
          <w:r>
            <w:tab/>
          </w:r>
          <w:r>
            <w:fldChar w:fldCharType="begin"/>
          </w:r>
          <w:r>
            <w:instrText xml:space="preserve"> PAGEREF _Toc14189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_Toc8129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资源管理报告</w:t>
          </w:r>
          <w:r>
            <w:tab/>
          </w:r>
          <w:r>
            <w:fldChar w:fldCharType="begin"/>
          </w:r>
          <w:r>
            <w:instrText xml:space="preserve"> PAGEREF _Toc8129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_Toc7393 </w:instrText>
          </w:r>
          <w:r>
            <w:rPr>
              <w:rFonts w:ascii="宋体" w:eastAsia="宋体" w:hAnsi="宋体" w:cs="宋体" w:hint="eastAsia"/>
              <w:szCs w:val="24"/>
            </w:rPr>
            <w:fldChar w:fldCharType="separate"/>
          </w:r>
          <w:r>
            <w:rPr>
              <w:rFonts w:hint="default"/>
              <w:lang w:val="en-US" w:eastAsia="zh-CN"/>
            </w:rPr>
            <w:t xml:space="preserve">1.2.1. </w:t>
          </w:r>
          <w:r>
            <w:rPr>
              <w:rFonts w:hint="eastAsia"/>
              <w:lang w:val="en-US" w:eastAsia="zh-CN"/>
            </w:rPr>
            <w:t>运维工具管理报告</w:t>
          </w:r>
          <w:r>
            <w:tab/>
          </w:r>
          <w:r>
            <w:fldChar w:fldCharType="begin"/>
          </w:r>
          <w:r>
            <w:instrText xml:space="preserve"> PAGEREF _Toc7393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_Toc28827 </w:instrText>
          </w:r>
          <w:r>
            <w:rPr>
              <w:rFonts w:ascii="宋体" w:eastAsia="宋体" w:hAnsi="宋体" w:cs="宋体" w:hint="eastAsia"/>
              <w:szCs w:val="24"/>
            </w:rPr>
            <w:fldChar w:fldCharType="separate"/>
          </w:r>
          <w:r>
            <w:rPr>
              <w:rFonts w:hint="default"/>
              <w:lang w:val="en-US" w:eastAsia="zh-CN"/>
            </w:rPr>
            <w:t xml:space="preserve">1.2.2. </w:t>
          </w:r>
          <w:r>
            <w:rPr>
              <w:rFonts w:hint="eastAsia"/>
              <w:lang w:val="en-US" w:eastAsia="zh-CN"/>
            </w:rPr>
            <w:t>服务台管理报告</w:t>
          </w:r>
          <w:r>
            <w:tab/>
          </w:r>
          <w:r>
            <w:fldChar w:fldCharType="begin"/>
          </w:r>
          <w:r>
            <w:instrText xml:space="preserve"> PAGEREF _Toc28827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_Toc3020 </w:instrText>
          </w:r>
          <w:r>
            <w:rPr>
              <w:rFonts w:ascii="宋体" w:eastAsia="宋体" w:hAnsi="宋体" w:cs="宋体" w:hint="eastAsia"/>
              <w:szCs w:val="24"/>
            </w:rPr>
            <w:fldChar w:fldCharType="separate"/>
          </w:r>
          <w:r>
            <w:rPr>
              <w:rFonts w:hint="default"/>
              <w:lang w:val="en-US" w:eastAsia="zh-CN"/>
            </w:rPr>
            <w:t xml:space="preserve">1.2.3. </w:t>
          </w:r>
          <w:r>
            <w:rPr>
              <w:rFonts w:hint="eastAsia"/>
              <w:lang w:val="en-US" w:eastAsia="zh-CN"/>
            </w:rPr>
            <w:t>备件库管理报告</w:t>
          </w:r>
          <w:r>
            <w:tab/>
          </w:r>
          <w:r>
            <w:fldChar w:fldCharType="begin"/>
          </w:r>
          <w:r>
            <w:instrText xml:space="preserve"> PAGEREF _Toc3020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_Toc20485 </w:instrText>
          </w:r>
          <w:r>
            <w:rPr>
              <w:rFonts w:ascii="宋体" w:eastAsia="宋体" w:hAnsi="宋体" w:cs="宋体" w:hint="eastAsia"/>
              <w:szCs w:val="24"/>
            </w:rPr>
            <w:fldChar w:fldCharType="separate"/>
          </w:r>
          <w:r>
            <w:rPr>
              <w:rFonts w:hint="default"/>
              <w:lang w:val="en-US" w:eastAsia="zh-CN"/>
            </w:rPr>
            <w:t xml:space="preserve">1.2.4. </w:t>
          </w:r>
          <w:r>
            <w:rPr>
              <w:rFonts w:hint="eastAsia"/>
              <w:lang w:val="en-US" w:eastAsia="zh-CN"/>
            </w:rPr>
            <w:t>服务知识管理报告</w:t>
          </w:r>
          <w:r>
            <w:tab/>
          </w:r>
          <w:r>
            <w:fldChar w:fldCharType="begin"/>
          </w:r>
          <w:r>
            <w:instrText xml:space="preserve"> PAGEREF _Toc20485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_Toc30505 </w:instrText>
          </w:r>
          <w:r>
            <w:rPr>
              <w:rFonts w:ascii="宋体" w:eastAsia="宋体" w:hAnsi="宋体" w:cs="宋体" w:hint="eastAsia"/>
              <w:szCs w:val="24"/>
            </w:rPr>
            <w:fldChar w:fldCharType="separate"/>
          </w:r>
          <w:r>
            <w:rPr>
              <w:rFonts w:hint="default"/>
              <w:lang w:val="en-US" w:eastAsia="zh-CN"/>
            </w:rPr>
            <w:t xml:space="preserve">1.2.5. </w:t>
          </w:r>
          <w:r>
            <w:rPr>
              <w:rFonts w:hint="eastAsia"/>
              <w:lang w:val="en-US" w:eastAsia="zh-CN"/>
            </w:rPr>
            <w:t>最终软件库管理报告</w:t>
          </w:r>
          <w:r>
            <w:tab/>
          </w:r>
          <w:r>
            <w:fldChar w:fldCharType="begin"/>
          </w:r>
          <w:r>
            <w:instrText xml:space="preserve"> PAGEREF _Toc30505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_Toc18117 </w:instrText>
          </w:r>
          <w:r>
            <w:rPr>
              <w:rFonts w:ascii="宋体" w:eastAsia="宋体" w:hAnsi="宋体" w:cs="宋体" w:hint="eastAsia"/>
              <w:szCs w:val="24"/>
            </w:rPr>
            <w:fldChar w:fldCharType="separate"/>
          </w:r>
          <w:r>
            <w:rPr>
              <w:rFonts w:hint="default"/>
              <w:lang w:val="en-US" w:eastAsia="zh-CN"/>
            </w:rPr>
            <w:t xml:space="preserve">1.2.6. </w:t>
          </w:r>
          <w:r>
            <w:rPr>
              <w:rFonts w:hint="eastAsia"/>
              <w:lang w:val="en-US" w:eastAsia="zh-CN"/>
            </w:rPr>
            <w:t>服务数据管理报告</w:t>
          </w:r>
          <w:r>
            <w:tab/>
          </w:r>
          <w:r>
            <w:fldChar w:fldCharType="begin"/>
          </w:r>
          <w:r>
            <w:instrText xml:space="preserve"> PAGEREF _Toc18117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_Toc26505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技术管理报告</w:t>
          </w:r>
          <w:r>
            <w:tab/>
          </w:r>
          <w:r>
            <w:fldChar w:fldCharType="begin"/>
          </w:r>
          <w:r>
            <w:instrText xml:space="preserve"> PAGEREF _Toc26505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_Toc31333 </w:instrText>
          </w:r>
          <w:r>
            <w:rPr>
              <w:rFonts w:ascii="宋体" w:eastAsia="宋体" w:hAnsi="宋体" w:cs="宋体" w:hint="eastAsia"/>
              <w:szCs w:val="24"/>
            </w:rPr>
            <w:fldChar w:fldCharType="separate"/>
          </w:r>
          <w:r>
            <w:rPr>
              <w:rFonts w:hint="default"/>
              <w:lang w:val="en-US" w:eastAsia="zh-CN"/>
            </w:rPr>
            <w:t xml:space="preserve">1.3.1. </w:t>
          </w:r>
          <w:r>
            <w:rPr>
              <w:rFonts w:hint="eastAsia"/>
              <w:lang w:val="en-US" w:eastAsia="zh-CN"/>
            </w:rPr>
            <w:t>运维工具二次开发</w:t>
          </w:r>
          <w:r>
            <w:tab/>
          </w:r>
          <w:r>
            <w:fldChar w:fldCharType="begin"/>
          </w:r>
          <w:r>
            <w:instrText xml:space="preserve"> PAGEREF _Toc31333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_Toc13962 </w:instrText>
          </w:r>
          <w:r>
            <w:rPr>
              <w:rFonts w:ascii="宋体" w:eastAsia="宋体" w:hAnsi="宋体" w:cs="宋体" w:hint="eastAsia"/>
              <w:szCs w:val="24"/>
            </w:rPr>
            <w:fldChar w:fldCharType="separate"/>
          </w:r>
          <w:r>
            <w:rPr>
              <w:rFonts w:hint="default"/>
              <w:lang w:val="en-US" w:eastAsia="zh-CN"/>
            </w:rPr>
            <w:t xml:space="preserve">1.3.2. </w:t>
          </w:r>
          <w:r>
            <w:rPr>
              <w:rFonts w:hint="eastAsia"/>
              <w:lang w:val="en-US" w:eastAsia="zh-CN"/>
            </w:rPr>
            <w:t>运维手册研发</w:t>
          </w:r>
          <w:r>
            <w:tab/>
          </w:r>
          <w:r>
            <w:fldChar w:fldCharType="begin"/>
          </w:r>
          <w:r>
            <w:instrText xml:space="preserve"> PAGEREF _Toc13962 \h </w:instrText>
          </w:r>
          <w:r>
            <w:fldChar w:fldCharType="separate"/>
          </w:r>
          <w:r>
            <w:t>11</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_Toc26460 </w:instrText>
          </w:r>
          <w:r>
            <w:rPr>
              <w:rFonts w:ascii="宋体" w:eastAsia="宋体" w:hAnsi="宋体" w:cs="宋体" w:hint="eastAsia"/>
              <w:szCs w:val="24"/>
            </w:rPr>
            <w:fldChar w:fldCharType="separate"/>
          </w:r>
          <w:r>
            <w:rPr>
              <w:rFonts w:hint="default"/>
              <w:lang w:val="en-US" w:eastAsia="zh-CN"/>
            </w:rPr>
            <w:t xml:space="preserve">1.3.3. </w:t>
          </w:r>
          <w:r>
            <w:rPr>
              <w:rFonts w:hint="eastAsia"/>
              <w:lang w:val="en-US" w:eastAsia="zh-CN"/>
            </w:rPr>
            <w:t>研发团队构成</w:t>
          </w:r>
          <w:r>
            <w:tab/>
          </w:r>
          <w:r>
            <w:fldChar w:fldCharType="begin"/>
          </w:r>
          <w:r>
            <w:instrText xml:space="preserve"> PAGEREF _Toc26460 \h </w:instrText>
          </w:r>
          <w:r>
            <w:fldChar w:fldCharType="separate"/>
          </w:r>
          <w:r>
            <w:t>11</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_Toc6865 </w:instrText>
          </w:r>
          <w:r>
            <w:rPr>
              <w:rFonts w:ascii="宋体" w:eastAsia="宋体" w:hAnsi="宋体" w:cs="宋体" w:hint="eastAsia"/>
              <w:szCs w:val="24"/>
            </w:rPr>
            <w:fldChar w:fldCharType="separate"/>
          </w:r>
          <w:r>
            <w:rPr>
              <w:rFonts w:hint="default"/>
              <w:lang w:val="en-US" w:eastAsia="zh-CN"/>
            </w:rPr>
            <w:t xml:space="preserve">1.3.4. </w:t>
          </w:r>
          <w:r>
            <w:rPr>
              <w:rFonts w:hint="eastAsia"/>
              <w:lang w:val="en-US" w:eastAsia="zh-CN"/>
            </w:rPr>
            <w:t>运维经费投入</w:t>
          </w:r>
          <w:r>
            <w:tab/>
          </w:r>
          <w:r>
            <w:fldChar w:fldCharType="begin"/>
          </w:r>
          <w:r>
            <w:instrText xml:space="preserve"> PAGEREF _Toc6865 \h </w:instrText>
          </w:r>
          <w:r>
            <w:fldChar w:fldCharType="separate"/>
          </w:r>
          <w:r>
            <w:t>12</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_Toc3490 </w:instrText>
          </w:r>
          <w:r>
            <w:rPr>
              <w:rFonts w:ascii="宋体" w:eastAsia="宋体" w:hAnsi="宋体" w:cs="宋体" w:hint="eastAsia"/>
              <w:szCs w:val="24"/>
            </w:rPr>
            <w:fldChar w:fldCharType="separate"/>
          </w:r>
          <w:r>
            <w:rPr>
              <w:rFonts w:hint="default"/>
              <w:lang w:val="en-US" w:eastAsia="zh-CN"/>
            </w:rPr>
            <w:t xml:space="preserve">1.3.5. </w:t>
          </w:r>
          <w:r>
            <w:rPr>
              <w:rFonts w:hint="eastAsia"/>
              <w:lang w:val="en-US" w:eastAsia="zh-CN"/>
            </w:rPr>
            <w:t>新技术研发</w:t>
          </w:r>
          <w:r>
            <w:tab/>
          </w:r>
          <w:r>
            <w:fldChar w:fldCharType="begin"/>
          </w:r>
          <w:r>
            <w:instrText xml:space="preserve"> PAGEREF _Toc3490 \h </w:instrText>
          </w:r>
          <w:r>
            <w:fldChar w:fldCharType="separate"/>
          </w:r>
          <w:r>
            <w:t>12</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_Toc12497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过程管理报告</w:t>
          </w:r>
          <w:r>
            <w:tab/>
          </w:r>
          <w:r>
            <w:fldChar w:fldCharType="begin"/>
          </w:r>
          <w:r>
            <w:instrText xml:space="preserve"> PAGEREF _Toc12497 \h </w:instrText>
          </w:r>
          <w:r>
            <w:fldChar w:fldCharType="separate"/>
          </w:r>
          <w:r>
            <w:t>12</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_Toc10957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过程框架管理报告</w:t>
          </w:r>
          <w:r>
            <w:tab/>
          </w:r>
          <w:r>
            <w:fldChar w:fldCharType="begin"/>
          </w:r>
          <w:r>
            <w:instrText xml:space="preserve"> PAGEREF _Toc10957 \h </w:instrText>
          </w:r>
          <w:r>
            <w:fldChar w:fldCharType="separate"/>
          </w:r>
          <w:r>
            <w:t>12</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_Toc20211 </w:instrText>
          </w:r>
          <w:r>
            <w:rPr>
              <w:rFonts w:ascii="宋体" w:eastAsia="宋体" w:hAnsi="宋体" w:cs="宋体" w:hint="eastAsia"/>
              <w:szCs w:val="24"/>
            </w:rPr>
            <w:fldChar w:fldCharType="separate"/>
          </w:r>
          <w:r>
            <w:rPr>
              <w:rFonts w:hint="default"/>
              <w:lang w:val="en-US" w:eastAsia="zh-CN"/>
            </w:rPr>
            <w:t xml:space="preserve">1.4.2. </w:t>
          </w:r>
          <w:r>
            <w:rPr>
              <w:rFonts w:hint="eastAsia"/>
              <w:lang w:val="en-US" w:eastAsia="zh-CN"/>
            </w:rPr>
            <w:t>服务级别管理报告</w:t>
          </w:r>
          <w:r>
            <w:tab/>
          </w:r>
          <w:r>
            <w:fldChar w:fldCharType="begin"/>
          </w:r>
          <w:r>
            <w:instrText xml:space="preserve"> PAGEREF _Toc20211 \h </w:instrText>
          </w:r>
          <w:r>
            <w:fldChar w:fldCharType="separate"/>
          </w:r>
          <w:r>
            <w:t>12</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_Toc13859 </w:instrText>
          </w:r>
          <w:r>
            <w:rPr>
              <w:rFonts w:ascii="宋体" w:eastAsia="宋体" w:hAnsi="宋体" w:cs="宋体" w:hint="eastAsia"/>
              <w:szCs w:val="24"/>
            </w:rPr>
            <w:fldChar w:fldCharType="separate"/>
          </w:r>
          <w:r>
            <w:rPr>
              <w:rFonts w:hint="default"/>
              <w:lang w:val="en-US" w:eastAsia="zh-CN"/>
            </w:rPr>
            <w:t xml:space="preserve">1.4.3. </w:t>
          </w:r>
          <w:r>
            <w:rPr>
              <w:rFonts w:hint="eastAsia"/>
              <w:lang w:val="en-US" w:eastAsia="zh-CN"/>
            </w:rPr>
            <w:t>服务报告管理计划</w:t>
          </w:r>
          <w:r>
            <w:tab/>
          </w:r>
          <w:r>
            <w:fldChar w:fldCharType="begin"/>
          </w:r>
          <w:r>
            <w:instrText xml:space="preserve"> PAGEREF _Toc13859 \h </w:instrText>
          </w:r>
          <w:r>
            <w:fldChar w:fldCharType="separate"/>
          </w:r>
          <w:r>
            <w:t>13</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_Toc10201 </w:instrText>
          </w:r>
          <w:r>
            <w:rPr>
              <w:rFonts w:ascii="宋体" w:eastAsia="宋体" w:hAnsi="宋体" w:cs="宋体" w:hint="eastAsia"/>
              <w:szCs w:val="24"/>
            </w:rPr>
            <w:fldChar w:fldCharType="separate"/>
          </w:r>
          <w:r>
            <w:rPr>
              <w:rFonts w:hint="default"/>
              <w:lang w:val="en-US" w:eastAsia="zh-CN"/>
            </w:rPr>
            <w:t xml:space="preserve">1.4.4. </w:t>
          </w:r>
          <w:r>
            <w:rPr>
              <w:rFonts w:hint="eastAsia"/>
              <w:lang w:val="en-US" w:eastAsia="zh-CN"/>
            </w:rPr>
            <w:t>事件管理报告</w:t>
          </w:r>
          <w:r>
            <w:tab/>
          </w:r>
          <w:r>
            <w:fldChar w:fldCharType="begin"/>
          </w:r>
          <w:r>
            <w:instrText xml:space="preserve"> PAGEREF _Toc10201 \h </w:instrText>
          </w:r>
          <w:r>
            <w:fldChar w:fldCharType="separate"/>
          </w:r>
          <w:r>
            <w:t>13</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_Toc13905 </w:instrText>
          </w:r>
          <w:r>
            <w:rPr>
              <w:rFonts w:ascii="宋体" w:eastAsia="宋体" w:hAnsi="宋体" w:cs="宋体" w:hint="eastAsia"/>
              <w:szCs w:val="24"/>
            </w:rPr>
            <w:fldChar w:fldCharType="separate"/>
          </w:r>
          <w:r>
            <w:rPr>
              <w:rFonts w:hint="default"/>
              <w:lang w:val="en-US" w:eastAsia="zh-CN"/>
            </w:rPr>
            <w:t xml:space="preserve">1.4.5. </w:t>
          </w:r>
          <w:r>
            <w:rPr>
              <w:rFonts w:hint="eastAsia"/>
              <w:lang w:val="en-US" w:eastAsia="zh-CN"/>
            </w:rPr>
            <w:t>问题管理报告</w:t>
          </w:r>
          <w:r>
            <w:tab/>
          </w:r>
          <w:r>
            <w:fldChar w:fldCharType="begin"/>
          </w:r>
          <w:r>
            <w:instrText xml:space="preserve"> PAGEREF _Toc13905 \h </w:instrText>
          </w:r>
          <w:r>
            <w:fldChar w:fldCharType="separate"/>
          </w:r>
          <w:r>
            <w:t>14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_Toc5071 </w:instrText>
          </w:r>
          <w:r>
            <w:rPr>
              <w:rFonts w:ascii="宋体" w:eastAsia="宋体" w:hAnsi="宋体" w:cs="宋体" w:hint="eastAsia"/>
              <w:szCs w:val="24"/>
            </w:rPr>
            <w:fldChar w:fldCharType="separate"/>
          </w:r>
          <w:r>
            <w:rPr>
              <w:rFonts w:hint="default"/>
              <w:lang w:val="en-US" w:eastAsia="zh-CN"/>
            </w:rPr>
            <w:t xml:space="preserve">1.4.6. </w:t>
          </w:r>
          <w:r>
            <w:rPr>
              <w:rFonts w:hint="eastAsia"/>
              <w:lang w:val="en-US" w:eastAsia="zh-CN"/>
            </w:rPr>
            <w:t>变更管理报告</w:t>
          </w:r>
          <w:r>
            <w:tab/>
          </w:r>
          <w:r>
            <w:fldChar w:fldCharType="begin"/>
          </w:r>
          <w:r>
            <w:instrText xml:space="preserve"> PAGEREF _Toc5071 \h </w:instrText>
          </w:r>
          <w:r>
            <w:fldChar w:fldCharType="separate"/>
          </w:r>
          <w:r>
            <w:t>14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_Toc1432 </w:instrText>
          </w:r>
          <w:r>
            <w:rPr>
              <w:rFonts w:ascii="宋体" w:eastAsia="宋体" w:hAnsi="宋体" w:cs="宋体" w:hint="eastAsia"/>
              <w:szCs w:val="24"/>
            </w:rPr>
            <w:fldChar w:fldCharType="separate"/>
          </w:r>
          <w:r>
            <w:rPr>
              <w:rFonts w:hint="default"/>
              <w:lang w:val="en-US" w:eastAsia="zh-CN"/>
            </w:rPr>
            <w:t xml:space="preserve">1.4.7. </w:t>
          </w:r>
          <w:r>
            <w:rPr>
              <w:rFonts w:hint="eastAsia"/>
              <w:lang w:val="en-US" w:eastAsia="zh-CN"/>
            </w:rPr>
            <w:t>发布管理报告</w:t>
          </w:r>
          <w:r>
            <w:tab/>
          </w:r>
          <w:r>
            <w:fldChar w:fldCharType="begin"/>
          </w:r>
          <w:r>
            <w:instrText xml:space="preserve"> PAGEREF _Toc1432 \h </w:instrText>
          </w:r>
          <w:r>
            <w:fldChar w:fldCharType="separate"/>
          </w:r>
          <w:r>
            <w:t>14</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_Toc25252 </w:instrText>
          </w:r>
          <w:r>
            <w:rPr>
              <w:rFonts w:ascii="宋体" w:eastAsia="宋体" w:hAnsi="宋体" w:cs="宋体" w:hint="eastAsia"/>
              <w:szCs w:val="24"/>
            </w:rPr>
            <w:fldChar w:fldCharType="separate"/>
          </w:r>
          <w:r>
            <w:rPr>
              <w:rFonts w:hint="default"/>
              <w:lang w:val="en-US" w:eastAsia="zh-CN"/>
            </w:rPr>
            <w:t xml:space="preserve">1.4.8. </w:t>
          </w:r>
          <w:r>
            <w:rPr>
              <w:rFonts w:hint="eastAsia"/>
              <w:lang w:val="en-US" w:eastAsia="zh-CN"/>
            </w:rPr>
            <w:t>配置管理报告</w:t>
          </w:r>
          <w:r>
            <w:tab/>
          </w:r>
          <w:r>
            <w:fldChar w:fldCharType="begin"/>
          </w:r>
          <w:r>
            <w:instrText xml:space="preserve"> PAGEREF _Toc25252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_Toc183 </w:instrText>
          </w:r>
          <w:r>
            <w:rPr>
              <w:rFonts w:ascii="宋体" w:eastAsia="宋体" w:hAnsi="宋体" w:cs="宋体" w:hint="eastAsia"/>
              <w:szCs w:val="24"/>
            </w:rPr>
            <w:fldChar w:fldCharType="separate"/>
          </w:r>
          <w:r>
            <w:rPr>
              <w:rFonts w:ascii="Segoe UI" w:eastAsia="Segoe UI" w:hAnsi="Segoe UI" w:cs="Segoe UI" w:hint="default"/>
              <w:i w:val="0"/>
              <w:iCs w:val="0"/>
              <w:caps w:val="0"/>
              <w:spacing w:val="0"/>
              <w:szCs w:val="24"/>
              <w:shd w:val="clear" w:color="auto" w:fill="FFFFFF"/>
            </w:rPr>
            <w:t xml:space="preserve">1.4.9. </w:t>
          </w:r>
          <w:r>
            <w:rPr>
              <w:rFonts w:hint="eastAsia"/>
              <w:lang w:val="en-US" w:eastAsia="zh-CN"/>
            </w:rPr>
            <w:t>服务可用性和连续性管理报告</w:t>
          </w:r>
          <w:r>
            <w:tab/>
          </w:r>
          <w:r>
            <w:fldChar w:fldCharType="begin"/>
          </w:r>
          <w:r>
            <w:instrText xml:space="preserve"> PAGEREF _Toc183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_Toc24970 </w:instrText>
          </w:r>
          <w:r>
            <w:rPr>
              <w:rFonts w:ascii="宋体" w:eastAsia="宋体" w:hAnsi="宋体" w:cs="宋体" w:hint="eastAsia"/>
              <w:szCs w:val="24"/>
            </w:rPr>
            <w:fldChar w:fldCharType="separate"/>
          </w:r>
          <w:r>
            <w:rPr>
              <w:rFonts w:hint="default"/>
              <w:lang w:val="en-US" w:eastAsia="zh-CN"/>
            </w:rPr>
            <w:t xml:space="preserve">1.4.10. </w:t>
          </w:r>
          <w:r>
            <w:rPr>
              <w:rFonts w:hint="eastAsia"/>
              <w:lang w:val="en-US" w:eastAsia="zh-CN"/>
            </w:rPr>
            <w:t>容量管理报告</w:t>
          </w:r>
          <w:r>
            <w:tab/>
          </w:r>
          <w:r>
            <w:fldChar w:fldCharType="begin"/>
          </w:r>
          <w:r>
            <w:instrText xml:space="preserve"> PAGEREF _Toc24970 \h </w:instrText>
          </w:r>
          <w:r>
            <w:fldChar w:fldCharType="separate"/>
          </w:r>
          <w:r>
            <w:t>15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_Toc15837 </w:instrText>
          </w:r>
          <w:r>
            <w:rPr>
              <w:rFonts w:ascii="宋体" w:eastAsia="宋体" w:hAnsi="宋体" w:cs="宋体" w:hint="eastAsia"/>
              <w:szCs w:val="24"/>
            </w:rPr>
            <w:fldChar w:fldCharType="separate"/>
          </w:r>
          <w:r>
            <w:rPr>
              <w:rFonts w:hint="default"/>
              <w:lang w:val="en-US" w:eastAsia="zh-CN"/>
            </w:rPr>
            <w:t xml:space="preserve">1.4.11. </w:t>
          </w:r>
          <w:r>
            <w:rPr>
              <w:rFonts w:hint="eastAsia"/>
              <w:lang w:val="en-US" w:eastAsia="zh-CN"/>
            </w:rPr>
            <w:t>信息安全管理报告</w:t>
          </w:r>
          <w:r>
            <w:tab/>
          </w:r>
          <w:r>
            <w:fldChar w:fldCharType="begin"/>
          </w:r>
          <w:r>
            <w:instrText xml:space="preserve"> PAGEREF _Toc15837 \h </w:instrText>
          </w:r>
          <w:r>
            <w:fldChar w:fldCharType="separate"/>
          </w:r>
          <w:r>
            <w:t>16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_Toc23722 </w:instrText>
          </w:r>
          <w:r>
            <w:rPr>
              <w:rFonts w:ascii="宋体" w:eastAsia="宋体" w:hAnsi="宋体" w:cs="宋体" w:hint="eastAsia"/>
              <w:szCs w:val="24"/>
            </w:rPr>
            <w:fldChar w:fldCharType="separate"/>
          </w:r>
          <w:r>
            <w:rPr>
              <w:rFonts w:hint="default"/>
              <w:lang w:val="en-US" w:eastAsia="zh-CN"/>
            </w:rPr>
            <w:t xml:space="preserve">1.5. </w:t>
          </w:r>
          <w:r>
            <w:rPr>
              <w:rFonts w:hint="eastAsia"/>
              <w:lang w:val="en-US" w:eastAsia="zh-CN"/>
            </w:rPr>
            <w:t>交付管理报告</w:t>
          </w:r>
          <w:r>
            <w:tab/>
          </w:r>
          <w:r>
            <w:fldChar w:fldCharType="begin"/>
          </w:r>
          <w:r>
            <w:instrText xml:space="preserve"> PAGEREF _Toc23722 \h </w:instrText>
          </w:r>
          <w:r>
            <w:fldChar w:fldCharType="separate"/>
          </w:r>
          <w:r>
            <w:t>16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_Toc5219 </w:instrText>
          </w:r>
          <w:r>
            <w:rPr>
              <w:rFonts w:ascii="宋体" w:eastAsia="宋体" w:hAnsi="宋体" w:cs="宋体" w:hint="eastAsia"/>
              <w:szCs w:val="24"/>
            </w:rPr>
            <w:fldChar w:fldCharType="separate"/>
          </w:r>
          <w:r>
            <w:rPr>
              <w:rFonts w:hint="default"/>
              <w:lang w:val="en-US" w:eastAsia="zh-CN"/>
            </w:rPr>
            <w:t xml:space="preserve">1.6. </w:t>
          </w:r>
          <w:r>
            <w:rPr>
              <w:rFonts w:hint="eastAsia"/>
              <w:lang w:val="en-US" w:eastAsia="zh-CN"/>
            </w:rPr>
            <w:t>应急管理报告</w:t>
          </w:r>
          <w:r>
            <w:tab/>
          </w:r>
          <w:r>
            <w:fldChar w:fldCharType="begin"/>
          </w:r>
          <w:r>
            <w:instrText xml:space="preserve"> PAGEREF _Toc5219 \h </w:instrText>
          </w:r>
          <w:r>
            <w:fldChar w:fldCharType="separate"/>
          </w:r>
          <w:r>
            <w:t>16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_Toc25223 </w:instrText>
          </w:r>
          <w:r>
            <w:rPr>
              <w:rFonts w:ascii="宋体" w:eastAsia="宋体" w:hAnsi="宋体" w:cs="宋体" w:hint="eastAsia"/>
              <w:szCs w:val="24"/>
            </w:rPr>
            <w:fldChar w:fldCharType="separate"/>
          </w:r>
          <w:r>
            <w:rPr>
              <w:rFonts w:hint="default"/>
              <w:lang w:val="en-US" w:eastAsia="zh-CN"/>
            </w:rPr>
            <w:t xml:space="preserve">1.7. </w:t>
          </w:r>
          <w:r>
            <w:rPr>
              <w:rFonts w:hint="eastAsia"/>
              <w:lang w:val="en-US" w:eastAsia="zh-CN"/>
            </w:rPr>
            <w:t>质量管理报告</w:t>
          </w:r>
          <w:r>
            <w:tab/>
          </w:r>
          <w:r>
            <w:fldChar w:fldCharType="begin"/>
          </w:r>
          <w:r>
            <w:instrText xml:space="preserve"> PAGEREF _Toc25223 \h </w:instrText>
          </w:r>
          <w:r>
            <w:fldChar w:fldCharType="separate"/>
          </w:r>
          <w:r>
            <w:t>16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_Toc17185 </w:instrText>
          </w:r>
          <w:r>
            <w:rPr>
              <w:rFonts w:ascii="宋体" w:eastAsia="宋体" w:hAnsi="宋体" w:cs="宋体" w:hint="eastAsia"/>
              <w:szCs w:val="24"/>
            </w:rPr>
            <w:fldChar w:fldCharType="separate"/>
          </w:r>
          <w:r>
            <w:rPr>
              <w:rFonts w:hint="default"/>
              <w:lang w:val="en-US" w:eastAsia="zh-CN"/>
            </w:rPr>
            <w:t xml:space="preserve">1.7.1. </w:t>
          </w:r>
          <w:r>
            <w:rPr>
              <w:rFonts w:hint="eastAsia"/>
              <w:lang w:val="en-US" w:eastAsia="zh-CN"/>
            </w:rPr>
            <w:t>内审</w:t>
          </w:r>
          <w:r>
            <w:tab/>
          </w:r>
          <w:r>
            <w:fldChar w:fldCharType="begin"/>
          </w:r>
          <w:r>
            <w:instrText xml:space="preserve"> PAGEREF _Toc17185 \h </w:instrText>
          </w:r>
          <w:r>
            <w:fldChar w:fldCharType="separate"/>
          </w:r>
          <w:r>
            <w:t>16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_Toc32625 </w:instrText>
          </w:r>
          <w:r>
            <w:rPr>
              <w:rFonts w:ascii="宋体" w:eastAsia="宋体" w:hAnsi="宋体" w:cs="宋体" w:hint="eastAsia"/>
              <w:szCs w:val="24"/>
            </w:rPr>
            <w:fldChar w:fldCharType="separate"/>
          </w:r>
          <w:r>
            <w:rPr>
              <w:rFonts w:hint="default"/>
              <w:lang w:val="en-US" w:eastAsia="zh-CN"/>
            </w:rPr>
            <w:t xml:space="preserve">1.7.2. </w:t>
          </w:r>
          <w:r>
            <w:rPr>
              <w:rFonts w:hint="eastAsia"/>
              <w:lang w:val="en-US" w:eastAsia="zh-CN"/>
            </w:rPr>
            <w:t>管评</w:t>
          </w:r>
          <w:r>
            <w:tab/>
          </w:r>
          <w:r>
            <w:fldChar w:fldCharType="begin"/>
          </w:r>
          <w:r>
            <w:instrText xml:space="preserve"> PAGEREF _Toc32625 \h </w:instrText>
          </w:r>
          <w:r>
            <w:fldChar w:fldCharType="separate"/>
          </w:r>
          <w:r>
            <w:t>16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_Toc12951 </w:instrText>
          </w:r>
          <w:r>
            <w:rPr>
              <w:rFonts w:ascii="宋体" w:eastAsia="宋体" w:hAnsi="宋体" w:cs="宋体" w:hint="eastAsia"/>
              <w:szCs w:val="24"/>
            </w:rPr>
            <w:fldChar w:fldCharType="separate"/>
          </w:r>
          <w:r>
            <w:rPr>
              <w:rFonts w:hint="default"/>
              <w:lang w:val="en-US" w:eastAsia="zh-CN"/>
            </w:rPr>
            <w:t xml:space="preserve">1.7.3. </w:t>
          </w:r>
          <w:r>
            <w:rPr>
              <w:rFonts w:hint="eastAsia"/>
              <w:lang w:val="en-US" w:eastAsia="zh-CN"/>
            </w:rPr>
            <w:t>客户满意度</w:t>
          </w:r>
          <w:r>
            <w:tab/>
          </w:r>
          <w:r>
            <w:fldChar w:fldCharType="begin"/>
          </w:r>
          <w:r>
            <w:instrText xml:space="preserve"> PAGEREF _Toc12951 \h </w:instrText>
          </w:r>
          <w:r>
            <w:fldChar w:fldCharType="separate"/>
          </w:r>
          <w:r>
            <w:t>17</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20394"/>
      <w:r>
        <w:rPr>
          <w:rFonts w:hint="eastAsia"/>
          <w:lang w:val="en-US" w:eastAsia="zh-CN"/>
        </w:rPr>
        <w:t>运维服务能力管理报告</w:t>
      </w:r>
      <w:bookmarkEnd w:id="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516"/>
      <w:r>
        <w:rPr>
          <w:rFonts w:hint="eastAsia"/>
          <w:lang w:val="en-US" w:eastAsia="zh-CN"/>
        </w:rPr>
        <w:t>人员管理报告</w:t>
      </w:r>
      <w:bookmarkEnd w:id="3"/>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8197"/>
      <w:bookmarkStart w:id="5" w:name="_Toc29208"/>
      <w:r>
        <w:rPr>
          <w:rFonts w:hint="eastAsia"/>
          <w:lang w:val="en-US" w:eastAsia="zh-CN"/>
        </w:rPr>
        <w:t>人员招聘管理</w:t>
      </w:r>
      <w:bookmarkEnd w:id="4"/>
      <w:r>
        <w:rPr>
          <w:rFonts w:hint="eastAsia"/>
          <w:lang w:val="en-US" w:eastAsia="zh-CN"/>
        </w:rPr>
        <w:t>报告</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根据公司实际业务发展需要进行招聘。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招聘计划，如表1-1所示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招聘计划完成情况</w:t>
      </w:r>
    </w:p>
    <w:tbl>
      <w:tblPr>
        <w:tblStyle w:val="TableGrid"/>
        <w:tblW w:w="862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11"/>
        <w:gridCol w:w="1628"/>
        <w:gridCol w:w="1419"/>
        <w:gridCol w:w="1420"/>
        <w:gridCol w:w="1742"/>
        <w:gridCol w:w="1208"/>
      </w:tblGrid>
      <w:tr>
        <w:tblPrEx>
          <w:tblW w:w="862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211"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季度</w:t>
            </w:r>
          </w:p>
        </w:tc>
        <w:tc>
          <w:tcPr>
            <w:tcW w:w="1628"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招聘岗位</w:t>
            </w:r>
          </w:p>
        </w:tc>
        <w:tc>
          <w:tcPr>
            <w:tcW w:w="1419"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所属部门</w:t>
            </w:r>
          </w:p>
        </w:tc>
        <w:tc>
          <w:tcPr>
            <w:tcW w:w="142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招聘人数</w:t>
            </w:r>
          </w:p>
        </w:tc>
        <w:tc>
          <w:tcPr>
            <w:tcW w:w="1742"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计划完成时间</w:t>
            </w:r>
          </w:p>
        </w:tc>
        <w:tc>
          <w:tcPr>
            <w:tcW w:w="1208"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完成情况</w:t>
            </w:r>
          </w:p>
        </w:tc>
      </w:tr>
      <w:tr>
        <w:tblPrEx>
          <w:tblW w:w="8628" w:type="dxa"/>
          <w:tblInd w:w="0" w:type="dxa"/>
          <w:tblCellMar>
            <w:top w:w="0" w:type="dxa"/>
            <w:left w:w="108" w:type="dxa"/>
            <w:bottom w:w="0" w:type="dxa"/>
            <w:right w:w="108" w:type="dxa"/>
          </w:tblCellMar>
        </w:tblPrEx>
        <w:tc>
          <w:tcPr>
            <w:tcW w:w="1211" w:type="dxa"/>
          </w:tcPr>
          <w:p>
            <w:pPr>
              <w:pStyle w:val="a1"/>
              <w:widowControl w:val="0"/>
              <w:ind w:left="0" w:right="0" w:firstLine="0" w:leftChars="0" w:rightChars="0" w:firstLineChars="0"/>
              <w:jc w:val="both"/>
              <w:rPr>
                <w:rFonts w:hint="eastAsia"/>
                <w:vertAlign w:val="baseline"/>
                <w:lang w:val="en-US" w:eastAsia="zh-CN"/>
              </w:rPr>
            </w:pPr>
            <w:r>
              <w:rPr>
                <w:rFonts w:hint="eastAsia"/>
                <w:vertAlign w:val="baseline"/>
                <w:lang w:val="en-US" w:eastAsia="zh-CN"/>
              </w:rPr>
              <w:t>2025年</w:t>
            </w:r>
          </w:p>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第一季度</w:t>
            </w:r>
          </w:p>
        </w:tc>
        <w:tc>
          <w:tcPr>
            <w:tcW w:w="1628"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运维工程师</w:t>
            </w:r>
          </w:p>
        </w:tc>
        <w:tc>
          <w:tcPr>
            <w:tcW w:w="1419"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运维部</w:t>
            </w:r>
          </w:p>
        </w:tc>
        <w:tc>
          <w:tcPr>
            <w:tcW w:w="142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2人</w:t>
            </w:r>
          </w:p>
        </w:tc>
        <w:tc>
          <w:tcPr>
            <w:tcW w:w="1742"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2025年3月</w:t>
            </w:r>
          </w:p>
        </w:tc>
        <w:tc>
          <w:tcPr>
            <w:tcW w:w="1208"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已完成</w:t>
            </w:r>
          </w:p>
        </w:tc>
      </w:tr>
      <w:tr>
        <w:tblPrEx>
          <w:tblW w:w="8628" w:type="dxa"/>
          <w:tblInd w:w="0" w:type="dxa"/>
          <w:tblCellMar>
            <w:top w:w="0" w:type="dxa"/>
            <w:left w:w="108" w:type="dxa"/>
            <w:bottom w:w="0" w:type="dxa"/>
            <w:right w:w="108" w:type="dxa"/>
          </w:tblCellMar>
        </w:tblPrEx>
        <w:tc>
          <w:tcPr>
            <w:tcW w:w="1211" w:type="dxa"/>
            <w:vMerge w:val="restart"/>
          </w:tcPr>
          <w:p>
            <w:pPr>
              <w:pStyle w:val="a1"/>
              <w:widowControl w:val="0"/>
              <w:ind w:left="0" w:right="0" w:firstLine="0" w:leftChars="0" w:rightChars="0" w:firstLineChars="0"/>
              <w:jc w:val="both"/>
              <w:rPr>
                <w:rFonts w:hint="eastAsia"/>
                <w:vertAlign w:val="baseline"/>
                <w:lang w:val="en-US" w:eastAsia="zh-CN"/>
              </w:rPr>
            </w:pPr>
            <w:r>
              <w:rPr>
                <w:rFonts w:hint="eastAsia"/>
                <w:vertAlign w:val="baseline"/>
                <w:lang w:val="en-US" w:eastAsia="zh-CN"/>
              </w:rPr>
              <w:t>2025年</w:t>
            </w:r>
          </w:p>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第二季度</w:t>
            </w:r>
          </w:p>
        </w:tc>
        <w:tc>
          <w:tcPr>
            <w:tcW w:w="1628"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开发工程师</w:t>
            </w:r>
          </w:p>
        </w:tc>
        <w:tc>
          <w:tcPr>
            <w:tcW w:w="1419"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技术中心</w:t>
            </w:r>
          </w:p>
        </w:tc>
        <w:tc>
          <w:tcPr>
            <w:tcW w:w="142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1人</w:t>
            </w:r>
          </w:p>
        </w:tc>
        <w:tc>
          <w:tcPr>
            <w:tcW w:w="1742"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2025年4月</w:t>
            </w:r>
          </w:p>
        </w:tc>
        <w:tc>
          <w:tcPr>
            <w:tcW w:w="1208" w:type="dxa"/>
          </w:tcPr>
          <w:p>
            <w:pPr>
              <w:pStyle w:val="a1"/>
              <w:widowControl w:val="0"/>
              <w:ind w:left="0" w:right="0" w:firstLine="0" w:leftChars="0" w:rightChars="0" w:firstLineChars="0"/>
              <w:jc w:val="both"/>
              <w:rPr>
                <w:rFonts w:hint="eastAsia"/>
                <w:vertAlign w:val="baseline"/>
                <w:lang w:val="en-US" w:eastAsia="zh-CN"/>
              </w:rPr>
            </w:pPr>
            <w:r>
              <w:rPr>
                <w:rFonts w:hint="eastAsia"/>
                <w:vertAlign w:val="baseline"/>
                <w:lang w:val="en-US" w:eastAsia="zh-CN"/>
              </w:rPr>
              <w:t>已完成</w:t>
            </w:r>
          </w:p>
        </w:tc>
      </w:tr>
      <w:tr>
        <w:tblPrEx>
          <w:tblW w:w="8628" w:type="dxa"/>
          <w:tblInd w:w="0" w:type="dxa"/>
          <w:tblCellMar>
            <w:top w:w="0" w:type="dxa"/>
            <w:left w:w="108" w:type="dxa"/>
            <w:bottom w:w="0" w:type="dxa"/>
            <w:right w:w="108" w:type="dxa"/>
          </w:tblCellMar>
        </w:tblPrEx>
        <w:tc>
          <w:tcPr>
            <w:tcW w:w="1211" w:type="dxa"/>
            <w:vMerge/>
          </w:tcPr>
          <w:p>
            <w:pPr>
              <w:pStyle w:val="a1"/>
              <w:widowControl w:val="0"/>
              <w:ind w:left="0" w:right="0" w:firstLine="0" w:leftChars="0" w:rightChars="0" w:firstLineChars="0"/>
              <w:jc w:val="both"/>
              <w:rPr>
                <w:rFonts w:hint="default"/>
                <w:vertAlign w:val="baseline"/>
                <w:lang w:val="en-US" w:eastAsia="zh-CN"/>
              </w:rPr>
            </w:pPr>
          </w:p>
        </w:tc>
        <w:tc>
          <w:tcPr>
            <w:tcW w:w="1628"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服务台专员</w:t>
            </w:r>
          </w:p>
        </w:tc>
        <w:tc>
          <w:tcPr>
            <w:tcW w:w="1419"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运维部</w:t>
            </w:r>
          </w:p>
        </w:tc>
        <w:tc>
          <w:tcPr>
            <w:tcW w:w="142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1人</w:t>
            </w:r>
          </w:p>
        </w:tc>
        <w:tc>
          <w:tcPr>
            <w:tcW w:w="1742"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2025年5月</w:t>
            </w:r>
          </w:p>
        </w:tc>
        <w:tc>
          <w:tcPr>
            <w:tcW w:w="1208" w:type="dxa"/>
          </w:tcPr>
          <w:p>
            <w:pPr>
              <w:pStyle w:val="a1"/>
              <w:widowControl w:val="0"/>
              <w:ind w:left="0" w:right="0" w:firstLine="0" w:leftChars="0" w:rightChars="0" w:firstLineChars="0"/>
              <w:jc w:val="both"/>
              <w:rPr>
                <w:rFonts w:hint="eastAsia"/>
                <w:vertAlign w:val="baseline"/>
                <w:lang w:val="en-US" w:eastAsia="zh-CN"/>
              </w:rPr>
            </w:pPr>
            <w:r>
              <w:rPr>
                <w:rFonts w:hint="eastAsia"/>
                <w:vertAlign w:val="baseline"/>
                <w:lang w:val="en-US" w:eastAsia="zh-CN"/>
              </w:rPr>
              <w:t>已完成</w:t>
            </w:r>
          </w:p>
        </w:tc>
      </w:tr>
      <w:tr>
        <w:tblPrEx>
          <w:tblW w:w="8628" w:type="dxa"/>
          <w:tblInd w:w="0" w:type="dxa"/>
          <w:tblCellMar>
            <w:top w:w="0" w:type="dxa"/>
            <w:left w:w="108" w:type="dxa"/>
            <w:bottom w:w="0" w:type="dxa"/>
            <w:right w:w="108" w:type="dxa"/>
          </w:tblCellMar>
        </w:tblPrEx>
        <w:tc>
          <w:tcPr>
            <w:tcW w:w="1211" w:type="dxa"/>
            <w:vMerge w:val="restart"/>
          </w:tcPr>
          <w:p>
            <w:pPr>
              <w:pStyle w:val="a1"/>
              <w:widowControl w:val="0"/>
              <w:ind w:left="0" w:right="0" w:firstLine="0" w:leftChars="0" w:rightChars="0" w:firstLineChars="0"/>
              <w:jc w:val="both"/>
              <w:rPr>
                <w:rFonts w:hint="eastAsia"/>
                <w:vertAlign w:val="baseline"/>
                <w:lang w:val="en-US" w:eastAsia="zh-CN"/>
              </w:rPr>
            </w:pPr>
            <w:r>
              <w:rPr>
                <w:rFonts w:hint="eastAsia"/>
                <w:vertAlign w:val="baseline"/>
                <w:lang w:val="en-US" w:eastAsia="zh-CN"/>
              </w:rPr>
              <w:t>2025年</w:t>
            </w:r>
          </w:p>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第三季度</w:t>
            </w:r>
          </w:p>
        </w:tc>
        <w:tc>
          <w:tcPr>
            <w:tcW w:w="1628"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运维工程师</w:t>
            </w:r>
          </w:p>
        </w:tc>
        <w:tc>
          <w:tcPr>
            <w:tcW w:w="1419"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运维部</w:t>
            </w:r>
          </w:p>
        </w:tc>
        <w:tc>
          <w:tcPr>
            <w:tcW w:w="142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1人</w:t>
            </w:r>
          </w:p>
        </w:tc>
        <w:tc>
          <w:tcPr>
            <w:tcW w:w="1742"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2025年8月</w:t>
            </w:r>
          </w:p>
        </w:tc>
        <w:tc>
          <w:tcPr>
            <w:tcW w:w="1208" w:type="dxa"/>
          </w:tcPr>
          <w:p>
            <w:pPr>
              <w:pStyle w:val="a1"/>
              <w:widowControl w:val="0"/>
              <w:ind w:left="0" w:right="0" w:firstLine="0" w:leftChars="0" w:rightChars="0" w:firstLineChars="0"/>
              <w:jc w:val="both"/>
              <w:rPr>
                <w:rFonts w:hint="eastAsia"/>
                <w:vertAlign w:val="baseline"/>
                <w:lang w:val="en-US" w:eastAsia="zh-CN"/>
              </w:rPr>
            </w:pPr>
            <w:r>
              <w:rPr>
                <w:rFonts w:hint="eastAsia"/>
                <w:vertAlign w:val="baseline"/>
                <w:lang w:val="en-US" w:eastAsia="zh-CN"/>
              </w:rPr>
              <w:t>已完成</w:t>
            </w:r>
          </w:p>
        </w:tc>
      </w:tr>
      <w:tr>
        <w:tblPrEx>
          <w:tblW w:w="8628" w:type="dxa"/>
          <w:tblInd w:w="0" w:type="dxa"/>
          <w:tblCellMar>
            <w:top w:w="0" w:type="dxa"/>
            <w:left w:w="108" w:type="dxa"/>
            <w:bottom w:w="0" w:type="dxa"/>
            <w:right w:w="108" w:type="dxa"/>
          </w:tblCellMar>
        </w:tblPrEx>
        <w:tc>
          <w:tcPr>
            <w:tcW w:w="1211" w:type="dxa"/>
            <w:vMerge/>
          </w:tcPr>
          <w:p>
            <w:pPr>
              <w:pStyle w:val="a1"/>
              <w:widowControl w:val="0"/>
              <w:ind w:left="0" w:right="0" w:firstLine="0" w:leftChars="0" w:rightChars="0" w:firstLineChars="0"/>
              <w:jc w:val="both"/>
              <w:rPr>
                <w:rFonts w:hint="default"/>
                <w:vertAlign w:val="baseline"/>
                <w:lang w:val="en-US" w:eastAsia="zh-CN"/>
              </w:rPr>
            </w:pPr>
          </w:p>
        </w:tc>
        <w:tc>
          <w:tcPr>
            <w:tcW w:w="1628"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质量管理专员</w:t>
            </w:r>
          </w:p>
        </w:tc>
        <w:tc>
          <w:tcPr>
            <w:tcW w:w="1419"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质量部</w:t>
            </w:r>
          </w:p>
        </w:tc>
        <w:tc>
          <w:tcPr>
            <w:tcW w:w="142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1人</w:t>
            </w:r>
          </w:p>
        </w:tc>
        <w:tc>
          <w:tcPr>
            <w:tcW w:w="1742"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2025年9月</w:t>
            </w:r>
          </w:p>
        </w:tc>
        <w:tc>
          <w:tcPr>
            <w:tcW w:w="1208" w:type="dxa"/>
          </w:tcPr>
          <w:p>
            <w:pPr>
              <w:pStyle w:val="a1"/>
              <w:widowControl w:val="0"/>
              <w:ind w:left="0" w:right="0" w:firstLine="0" w:leftChars="0" w:rightChars="0" w:firstLineChars="0"/>
              <w:jc w:val="both"/>
              <w:rPr>
                <w:rFonts w:hint="eastAsia"/>
                <w:vertAlign w:val="baseline"/>
                <w:lang w:val="en-US" w:eastAsia="zh-CN"/>
              </w:rPr>
            </w:pPr>
            <w:r>
              <w:rPr>
                <w:rFonts w:hint="eastAsia"/>
                <w:vertAlign w:val="baseline"/>
                <w:lang w:val="en-US" w:eastAsia="zh-CN"/>
              </w:rPr>
              <w:t>已完成</w:t>
            </w:r>
          </w:p>
        </w:tc>
      </w:tr>
      <w:tr>
        <w:tblPrEx>
          <w:tblW w:w="8628" w:type="dxa"/>
          <w:tblInd w:w="0" w:type="dxa"/>
          <w:tblCellMar>
            <w:top w:w="0" w:type="dxa"/>
            <w:left w:w="108" w:type="dxa"/>
            <w:bottom w:w="0" w:type="dxa"/>
            <w:right w:w="108" w:type="dxa"/>
          </w:tblCellMar>
        </w:tblPrEx>
        <w:tc>
          <w:tcPr>
            <w:tcW w:w="1211" w:type="dxa"/>
          </w:tcPr>
          <w:p>
            <w:pPr>
              <w:pStyle w:val="a1"/>
              <w:widowControl w:val="0"/>
              <w:ind w:left="0" w:right="0" w:firstLine="0" w:leftChars="0" w:rightChars="0" w:firstLineChars="0"/>
              <w:jc w:val="both"/>
              <w:rPr>
                <w:rFonts w:hint="eastAsia"/>
                <w:vertAlign w:val="baseline"/>
                <w:lang w:val="en-US" w:eastAsia="zh-CN"/>
              </w:rPr>
            </w:pPr>
            <w:r>
              <w:rPr>
                <w:rFonts w:hint="eastAsia"/>
                <w:vertAlign w:val="baseline"/>
                <w:lang w:val="en-US" w:eastAsia="zh-CN"/>
              </w:rPr>
              <w:t>2025年</w:t>
            </w:r>
          </w:p>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第四季度</w:t>
            </w:r>
          </w:p>
        </w:tc>
        <w:tc>
          <w:tcPr>
            <w:tcW w:w="1628"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w:t>
            </w:r>
          </w:p>
        </w:tc>
        <w:tc>
          <w:tcPr>
            <w:tcW w:w="1419"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w:t>
            </w:r>
          </w:p>
        </w:tc>
        <w:tc>
          <w:tcPr>
            <w:tcW w:w="1420"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w:t>
            </w:r>
          </w:p>
        </w:tc>
        <w:tc>
          <w:tcPr>
            <w:tcW w:w="1742"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w:t>
            </w:r>
          </w:p>
        </w:tc>
        <w:tc>
          <w:tcPr>
            <w:tcW w:w="1208"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w:t>
            </w:r>
          </w:p>
        </w:tc>
      </w:tr>
    </w:tbl>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5581"/>
      <w:bookmarkStart w:id="7" w:name="_Toc17956"/>
      <w:r>
        <w:rPr>
          <w:rFonts w:hint="eastAsia"/>
          <w:lang w:val="en-US" w:eastAsia="zh-CN"/>
        </w:rPr>
        <w:t>人员储备管理</w:t>
      </w:r>
      <w:bookmarkEnd w:id="6"/>
      <w:r>
        <w:rPr>
          <w:rFonts w:hint="eastAsia"/>
          <w:lang w:val="en-US" w:eastAsia="zh-CN"/>
        </w:rPr>
        <w:t>报告</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降低关键岗位的人才流失风险，保障业务连续性与稳定性，并为企业长远发展提供可持续的领导力供给，本计划通过识别关键岗位、实施导师制与项目炼金等机制，系统性培养内部后备人才，建立公司的人才梯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公司人员储备计划如表1-2所示</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default"/>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人员储备完成情况</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671"/>
        <w:gridCol w:w="1002"/>
        <w:gridCol w:w="1002"/>
        <w:gridCol w:w="3183"/>
        <w:gridCol w:w="830"/>
        <w:gridCol w:w="83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7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储备目标岗位</w:t>
            </w:r>
          </w:p>
        </w:tc>
        <w:tc>
          <w:tcPr>
            <w:tcW w:w="100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储备人次</w:t>
            </w:r>
          </w:p>
        </w:tc>
        <w:tc>
          <w:tcPr>
            <w:tcW w:w="100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储备人选来源</w:t>
            </w:r>
          </w:p>
        </w:tc>
        <w:tc>
          <w:tcPr>
            <w:tcW w:w="3183"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核心培新措施</w:t>
            </w:r>
          </w:p>
        </w:tc>
        <w:tc>
          <w:tcPr>
            <w:tcW w:w="8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计划完成时间</w:t>
            </w:r>
          </w:p>
        </w:tc>
        <w:tc>
          <w:tcPr>
            <w:tcW w:w="8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hAnsi="宋体" w:cs="宋体" w:hint="eastAsia"/>
                <w:sz w:val="16"/>
                <w:szCs w:val="16"/>
                <w:vertAlign w:val="baseline"/>
                <w:lang w:val="en-US" w:eastAsia="zh-CN"/>
              </w:rPr>
              <w:t>完成情况</w:t>
            </w:r>
          </w:p>
        </w:tc>
      </w:tr>
      <w:tr>
        <w:tblPrEx>
          <w:tblW w:w="0" w:type="auto"/>
          <w:tblInd w:w="0" w:type="dxa"/>
          <w:tblCellMar>
            <w:top w:w="0" w:type="dxa"/>
            <w:left w:w="108" w:type="dxa"/>
            <w:bottom w:w="0" w:type="dxa"/>
            <w:right w:w="108" w:type="dxa"/>
          </w:tblCellMar>
        </w:tblPrEx>
        <w:trPr>
          <w:trHeight w:val="90"/>
        </w:trPr>
        <w:tc>
          <w:tcPr>
            <w:tcW w:w="167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运维部经理</w:t>
            </w:r>
          </w:p>
        </w:tc>
        <w:tc>
          <w:tcPr>
            <w:tcW w:w="100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2人</w:t>
            </w:r>
          </w:p>
        </w:tc>
        <w:tc>
          <w:tcPr>
            <w:tcW w:w="100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现任运维项目经理</w:t>
            </w:r>
          </w:p>
        </w:tc>
        <w:tc>
          <w:tcPr>
            <w:tcW w:w="3183" w:type="dxa"/>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1. 导师制： 由外聘导师进行一对一领导力辅导</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 轮岗实践： 短期轮岗至技术中心、质量部，了解全业务链</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3. 授权历练： 独立负责部门季度规划、预算编制模拟、主持重要客户会议</w:t>
            </w:r>
          </w:p>
        </w:tc>
        <w:tc>
          <w:tcPr>
            <w:tcW w:w="8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2025年8月</w:t>
            </w:r>
          </w:p>
        </w:tc>
        <w:tc>
          <w:tcPr>
            <w:tcW w:w="8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hAnsi="宋体" w:cs="宋体" w:hint="eastAsia"/>
                <w:sz w:val="16"/>
                <w:szCs w:val="16"/>
                <w:vertAlign w:val="baseline"/>
                <w:lang w:val="en-US" w:eastAsia="zh-CN"/>
              </w:rPr>
              <w:t>已完成</w:t>
            </w:r>
          </w:p>
        </w:tc>
      </w:tr>
      <w:tr>
        <w:tblPrEx>
          <w:tblW w:w="0" w:type="auto"/>
          <w:tblInd w:w="0" w:type="dxa"/>
          <w:tblCellMar>
            <w:top w:w="0" w:type="dxa"/>
            <w:left w:w="108" w:type="dxa"/>
            <w:bottom w:w="0" w:type="dxa"/>
            <w:right w:w="108" w:type="dxa"/>
          </w:tblCellMar>
        </w:tblPrEx>
        <w:tc>
          <w:tcPr>
            <w:tcW w:w="167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运维项目经理</w:t>
            </w:r>
          </w:p>
        </w:tc>
        <w:tc>
          <w:tcPr>
            <w:tcW w:w="100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1人</w:t>
            </w:r>
          </w:p>
        </w:tc>
        <w:tc>
          <w:tcPr>
            <w:tcW w:w="100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现任运维工程师</w:t>
            </w:r>
          </w:p>
        </w:tc>
        <w:tc>
          <w:tcPr>
            <w:tcW w:w="3183" w:type="dxa"/>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1. 项目实践： 担任小型项目副组长，在指导下全程参与项目管理</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 专项培训： 参加PMP认证培训，学习项目管理方法论</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3. 参与决策： 列席项目复盘会、售前技术方案讨论会</w:t>
            </w:r>
          </w:p>
        </w:tc>
        <w:tc>
          <w:tcPr>
            <w:tcW w:w="8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2025年</w:t>
            </w:r>
            <w:r>
              <w:rPr>
                <w:rFonts w:ascii="宋体" w:hAnsi="宋体" w:cs="宋体" w:hint="eastAsia"/>
                <w:sz w:val="16"/>
                <w:szCs w:val="16"/>
                <w:vertAlign w:val="baseline"/>
                <w:lang w:val="en-US" w:eastAsia="zh-CN"/>
              </w:rPr>
              <w:t>9月</w:t>
            </w:r>
          </w:p>
        </w:tc>
        <w:tc>
          <w:tcPr>
            <w:tcW w:w="8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hAnsi="宋体" w:cs="宋体" w:hint="eastAsia"/>
                <w:sz w:val="16"/>
                <w:szCs w:val="16"/>
                <w:vertAlign w:val="baseline"/>
                <w:lang w:val="en-US" w:eastAsia="zh-CN"/>
              </w:rPr>
              <w:t>已完成</w:t>
            </w:r>
          </w:p>
        </w:tc>
      </w:tr>
      <w:tr>
        <w:tblPrEx>
          <w:tblW w:w="0" w:type="auto"/>
          <w:tblInd w:w="0" w:type="dxa"/>
          <w:tblCellMar>
            <w:top w:w="0" w:type="dxa"/>
            <w:left w:w="108" w:type="dxa"/>
            <w:bottom w:w="0" w:type="dxa"/>
            <w:right w:w="108" w:type="dxa"/>
          </w:tblCellMar>
        </w:tblPrEx>
        <w:tc>
          <w:tcPr>
            <w:tcW w:w="167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技术中心经理</w:t>
            </w:r>
          </w:p>
        </w:tc>
        <w:tc>
          <w:tcPr>
            <w:tcW w:w="100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eastAsia="宋体" w:hAnsi="宋体" w:cs="宋体" w:hint="eastAsia"/>
                <w:sz w:val="16"/>
                <w:szCs w:val="16"/>
                <w:vertAlign w:val="baseline"/>
                <w:lang w:val="en-US" w:eastAsia="zh-CN"/>
              </w:rPr>
              <w:t>1人</w:t>
            </w:r>
          </w:p>
        </w:tc>
        <w:tc>
          <w:tcPr>
            <w:tcW w:w="1002"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现任开发工程师</w:t>
            </w:r>
          </w:p>
        </w:tc>
        <w:tc>
          <w:tcPr>
            <w:tcW w:w="3183" w:type="dxa"/>
          </w:tcPr>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1. 技术管理： 负责技术选型评审、代码规范制定</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 带队任务： 作为技术组长，带领小组完成一个产品模块的开发。</w:t>
            </w:r>
          </w:p>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3. 业务接触： 跟随项目经理参与客户需求调研，理解业务痛点</w:t>
            </w:r>
          </w:p>
        </w:tc>
        <w:tc>
          <w:tcPr>
            <w:tcW w:w="8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eastAsia"/>
                <w:sz w:val="16"/>
                <w:szCs w:val="16"/>
                <w:vertAlign w:val="baseline"/>
                <w:lang w:val="en-US" w:eastAsia="zh-CN"/>
              </w:rPr>
            </w:pPr>
            <w:r>
              <w:rPr>
                <w:rFonts w:ascii="宋体" w:eastAsia="宋体" w:hAnsi="宋体" w:cs="宋体" w:hint="eastAsia"/>
                <w:sz w:val="16"/>
                <w:szCs w:val="16"/>
                <w:vertAlign w:val="baseline"/>
                <w:lang w:val="en-US" w:eastAsia="zh-CN"/>
              </w:rPr>
              <w:t>2025年</w:t>
            </w:r>
            <w:r>
              <w:rPr>
                <w:rFonts w:ascii="宋体" w:hAnsi="宋体" w:cs="宋体" w:hint="eastAsia"/>
                <w:sz w:val="16"/>
                <w:szCs w:val="16"/>
                <w:vertAlign w:val="baseline"/>
                <w:lang w:val="en-US" w:eastAsia="zh-CN"/>
              </w:rPr>
              <w:t>11</w:t>
            </w:r>
            <w:r>
              <w:rPr>
                <w:rFonts w:ascii="宋体" w:eastAsia="宋体" w:hAnsi="宋体" w:cs="宋体" w:hint="eastAsia"/>
                <w:sz w:val="16"/>
                <w:szCs w:val="16"/>
                <w:vertAlign w:val="baseline"/>
                <w:lang w:val="en-US" w:eastAsia="zh-CN"/>
              </w:rPr>
              <w:t>月</w:t>
            </w:r>
          </w:p>
        </w:tc>
        <w:tc>
          <w:tcPr>
            <w:tcW w:w="830"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both"/>
              <w:textAlignment w:val="baseline"/>
              <w:rPr>
                <w:rFonts w:ascii="宋体" w:eastAsia="宋体" w:hAnsi="宋体" w:cs="宋体" w:hint="default"/>
                <w:sz w:val="16"/>
                <w:szCs w:val="16"/>
                <w:vertAlign w:val="baseline"/>
                <w:lang w:val="en-US" w:eastAsia="zh-CN"/>
              </w:rPr>
            </w:pPr>
            <w:r>
              <w:rPr>
                <w:rFonts w:ascii="宋体" w:hAnsi="宋体" w:cs="宋体" w:hint="eastAsia"/>
                <w:sz w:val="16"/>
                <w:szCs w:val="16"/>
                <w:vertAlign w:val="baseline"/>
                <w:lang w:val="en-US" w:eastAsia="zh-CN"/>
              </w:rPr>
              <w:t>已完成</w:t>
            </w:r>
          </w:p>
        </w:tc>
      </w:tr>
    </w:tbl>
    <w:p>
      <w:pPr>
        <w:pStyle w:val="a1"/>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hint="eastAsia"/>
          <w:lang w:val="en-US" w:eastAsia="zh-CN"/>
        </w:rPr>
      </w:pP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10776"/>
      <w:bookmarkStart w:id="9" w:name="_Toc28697"/>
      <w:r>
        <w:rPr>
          <w:rFonts w:hint="eastAsia"/>
          <w:lang w:val="en-US" w:eastAsia="zh-CN"/>
        </w:rPr>
        <w:t>人员绩效考核管理</w:t>
      </w:r>
      <w:bookmarkEnd w:id="8"/>
      <w:r>
        <w:rPr>
          <w:rFonts w:hint="eastAsia"/>
          <w:lang w:val="en-US" w:eastAsia="zh-CN"/>
        </w:rPr>
        <w:t>报告</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5164"/>
      <w:r>
        <w:rPr>
          <w:rFonts w:hint="eastAsia"/>
          <w:lang w:val="en-US" w:eastAsia="zh-CN"/>
        </w:rPr>
        <w:t>公司综合管理部严格按照《人员绩效考核管理制度》开展工作，按月跟进运维相关人员绩效考核结果。综合管理部</w:t>
      </w:r>
      <w:r>
        <w:t>按照绩效考核制度的要求，每</w:t>
      </w:r>
      <w:r>
        <w:rPr>
          <w:rFonts w:hint="eastAsia"/>
          <w:lang w:val="en-US" w:eastAsia="zh-CN"/>
        </w:rPr>
        <w:t>月</w:t>
      </w:r>
      <w:r>
        <w:t>对公司各岗位人员进行了考核，经整理各岗位的绩效考核结果，公司人员的绩效得分平均在93分左右</w:t>
      </w:r>
      <w:r>
        <w:rPr>
          <w:rFonts w:hint="eastAsia"/>
          <w:lang w:eastAsia="zh-CN"/>
        </w:rPr>
        <w:t>，</w:t>
      </w:r>
      <w:r>
        <w:rPr>
          <w:rFonts w:hint="eastAsia"/>
          <w:lang w:val="en-US" w:eastAsia="zh-CN"/>
        </w:rPr>
        <w:t>合格率100%，</w:t>
      </w:r>
      <w:r>
        <w:t>达到绩效考核合格率≥95%的要求。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1826"/>
      <w:r>
        <w:rPr>
          <w:rFonts w:hint="eastAsia"/>
          <w:lang w:val="en-US" w:eastAsia="zh-CN"/>
        </w:rPr>
        <w:t>人员技能评定管理</w:t>
      </w:r>
      <w:bookmarkEnd w:id="10"/>
      <w:r>
        <w:rPr>
          <w:rFonts w:hint="eastAsia"/>
          <w:lang w:val="en-US" w:eastAsia="zh-CN"/>
        </w:rPr>
        <w:t>报告</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31241"/>
      <w:r>
        <w:rPr>
          <w:rFonts w:hint="eastAsia"/>
          <w:lang w:val="en-US" w:eastAsia="zh-CN"/>
        </w:rPr>
        <w:t>综合管理部按照人员技能评定管理制度的要求，每季度对公司各岗位人员进行了评价，经整理各岗位的技能评价结果，三个季度人员技能评定合格率均为</w:t>
      </w:r>
      <w:bookmarkStart w:id="13" w:name="_GoBack"/>
      <w:bookmarkEnd w:id="13"/>
      <w:r>
        <w:rPr>
          <w:rFonts w:hint="eastAsia"/>
          <w:lang w:val="en-US" w:eastAsia="zh-CN"/>
        </w:rPr>
        <w:t>100%，达到人员能力合格率≥95%的要求，满足服务目录和运维业务发展要求。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1711"/>
      <w:r>
        <w:rPr>
          <w:rFonts w:hint="eastAsia"/>
          <w:lang w:val="en-US" w:eastAsia="zh-CN"/>
        </w:rPr>
        <w:t>人员培训管理</w:t>
      </w:r>
      <w:bookmarkEnd w:id="12"/>
      <w:r>
        <w:rPr>
          <w:rFonts w:hint="eastAsia"/>
          <w:lang w:val="en-US" w:eastAsia="zh-CN"/>
        </w:rPr>
        <w:t>报告</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新老员工能快速适应公司战略转型要求，提升整体专业素养与协同效率，本培训计划旨在通过系统性的赋能，统一服务思想、补齐技能短板、培养后备骨干，从而构建一支既能深入专业领域又能协同作战的复合型团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培训计划，如表1-3所示</w:t>
      </w:r>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培训计划表</w:t>
      </w:r>
    </w:p>
    <w:tbl>
      <w:tblPr>
        <w:tblStyle w:val="TableGrid"/>
        <w:tblW w:w="88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55"/>
        <w:gridCol w:w="2808"/>
        <w:gridCol w:w="1212"/>
        <w:gridCol w:w="1584"/>
        <w:gridCol w:w="780"/>
        <w:gridCol w:w="1161"/>
      </w:tblGrid>
      <w:tr>
        <w:tblPrEx>
          <w:tblW w:w="88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255"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季度</w:t>
            </w:r>
          </w:p>
        </w:tc>
        <w:tc>
          <w:tcPr>
            <w:tcW w:w="2808"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培训主题</w:t>
            </w:r>
          </w:p>
        </w:tc>
        <w:tc>
          <w:tcPr>
            <w:tcW w:w="1212"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主要部门</w:t>
            </w:r>
          </w:p>
        </w:tc>
        <w:tc>
          <w:tcPr>
            <w:tcW w:w="1584"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培训时间</w:t>
            </w:r>
          </w:p>
        </w:tc>
        <w:tc>
          <w:tcPr>
            <w:tcW w:w="780"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培训方式</w:t>
            </w:r>
          </w:p>
        </w:tc>
        <w:tc>
          <w:tcPr>
            <w:tcW w:w="1161"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完成情况</w:t>
            </w:r>
          </w:p>
        </w:tc>
      </w:tr>
      <w:tr>
        <w:tblPrEx>
          <w:tblW w:w="8800" w:type="dxa"/>
          <w:tblInd w:w="0" w:type="dxa"/>
          <w:tblCellMar>
            <w:top w:w="0" w:type="dxa"/>
            <w:left w:w="108" w:type="dxa"/>
            <w:bottom w:w="0" w:type="dxa"/>
            <w:right w:w="108" w:type="dxa"/>
          </w:tblCellMar>
        </w:tblPrEx>
        <w:tc>
          <w:tcPr>
            <w:tcW w:w="1255" w:type="dxa"/>
            <w:vMerge w:val="restart"/>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第一季度</w:t>
            </w:r>
          </w:p>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p>
        </w:tc>
        <w:tc>
          <w:tcPr>
            <w:tcW w:w="280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公司战略与文化融合</w:t>
            </w:r>
          </w:p>
        </w:tc>
        <w:tc>
          <w:tcPr>
            <w:tcW w:w="1212"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584"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2025年2月</w:t>
            </w:r>
          </w:p>
        </w:tc>
        <w:tc>
          <w:tcPr>
            <w:tcW w:w="780"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w:t>
            </w:r>
          </w:p>
        </w:tc>
        <w:tc>
          <w:tcPr>
            <w:tcW w:w="1161"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已完成</w:t>
            </w:r>
          </w:p>
        </w:tc>
      </w:tr>
      <w:tr>
        <w:tblPrEx>
          <w:tblW w:w="8800" w:type="dxa"/>
          <w:tblInd w:w="0" w:type="dxa"/>
          <w:tblCellMar>
            <w:top w:w="0" w:type="dxa"/>
            <w:left w:w="108" w:type="dxa"/>
            <w:bottom w:w="0" w:type="dxa"/>
            <w:right w:w="108" w:type="dxa"/>
          </w:tblCellMar>
        </w:tblPrEx>
        <w:tc>
          <w:tcPr>
            <w:tcW w:w="1255" w:type="dxa"/>
            <w:vMerge/>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80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ITSS运行维护服务体系培训</w:t>
            </w:r>
          </w:p>
        </w:tc>
        <w:tc>
          <w:tcPr>
            <w:tcW w:w="1212"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运维部、质量部、综合管理部</w:t>
            </w:r>
          </w:p>
        </w:tc>
        <w:tc>
          <w:tcPr>
            <w:tcW w:w="1584"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2025年3月</w:t>
            </w:r>
          </w:p>
        </w:tc>
        <w:tc>
          <w:tcPr>
            <w:tcW w:w="780"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已完成</w:t>
            </w:r>
          </w:p>
        </w:tc>
      </w:tr>
      <w:tr>
        <w:tblPrEx>
          <w:tblW w:w="8800" w:type="dxa"/>
          <w:tblInd w:w="0" w:type="dxa"/>
          <w:tblCellMar>
            <w:top w:w="0" w:type="dxa"/>
            <w:left w:w="108" w:type="dxa"/>
            <w:bottom w:w="0" w:type="dxa"/>
            <w:right w:w="108" w:type="dxa"/>
          </w:tblCellMar>
        </w:tblPrEx>
        <w:tc>
          <w:tcPr>
            <w:tcW w:w="1255" w:type="dxa"/>
            <w:vMerge/>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80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技术岗位画像与面试技巧</w:t>
            </w:r>
          </w:p>
        </w:tc>
        <w:tc>
          <w:tcPr>
            <w:tcW w:w="1212"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综合管理部</w:t>
            </w:r>
          </w:p>
        </w:tc>
        <w:tc>
          <w:tcPr>
            <w:tcW w:w="1584"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2025年3月</w:t>
            </w:r>
          </w:p>
        </w:tc>
        <w:tc>
          <w:tcPr>
            <w:tcW w:w="780"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专项</w:t>
            </w:r>
          </w:p>
        </w:tc>
        <w:tc>
          <w:tcPr>
            <w:tcW w:w="1161"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已完成</w:t>
            </w:r>
          </w:p>
        </w:tc>
      </w:tr>
      <w:tr>
        <w:tblPrEx>
          <w:tblW w:w="8800" w:type="dxa"/>
          <w:tblInd w:w="0" w:type="dxa"/>
          <w:tblCellMar>
            <w:top w:w="0" w:type="dxa"/>
            <w:left w:w="108" w:type="dxa"/>
            <w:bottom w:w="0" w:type="dxa"/>
            <w:right w:w="108" w:type="dxa"/>
          </w:tblCellMar>
        </w:tblPrEx>
        <w:tc>
          <w:tcPr>
            <w:tcW w:w="1255" w:type="dxa"/>
            <w:vMerge w:val="restart"/>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第二季度</w:t>
            </w:r>
          </w:p>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80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Java核心框架培训</w:t>
            </w:r>
          </w:p>
        </w:tc>
        <w:tc>
          <w:tcPr>
            <w:tcW w:w="1212"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技术中心</w:t>
            </w:r>
          </w:p>
        </w:tc>
        <w:tc>
          <w:tcPr>
            <w:tcW w:w="1584"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2025年4月</w:t>
            </w:r>
          </w:p>
        </w:tc>
        <w:tc>
          <w:tcPr>
            <w:tcW w:w="780"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已完成</w:t>
            </w:r>
          </w:p>
        </w:tc>
      </w:tr>
      <w:tr>
        <w:tblPrEx>
          <w:tblW w:w="8800" w:type="dxa"/>
          <w:tblInd w:w="0" w:type="dxa"/>
          <w:tblCellMar>
            <w:top w:w="0" w:type="dxa"/>
            <w:left w:w="108" w:type="dxa"/>
            <w:bottom w:w="0" w:type="dxa"/>
            <w:right w:w="108" w:type="dxa"/>
          </w:tblCellMar>
        </w:tblPrEx>
        <w:tc>
          <w:tcPr>
            <w:tcW w:w="1255" w:type="dxa"/>
            <w:vMerge/>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80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Linux系统管理与shell脚本</w:t>
            </w:r>
          </w:p>
        </w:tc>
        <w:tc>
          <w:tcPr>
            <w:tcW w:w="1212"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运维部、技术中心</w:t>
            </w:r>
          </w:p>
        </w:tc>
        <w:tc>
          <w:tcPr>
            <w:tcW w:w="1584"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2025年5月</w:t>
            </w:r>
          </w:p>
        </w:tc>
        <w:tc>
          <w:tcPr>
            <w:tcW w:w="780"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w:t>
            </w:r>
          </w:p>
        </w:tc>
        <w:tc>
          <w:tcPr>
            <w:tcW w:w="1161"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已完成</w:t>
            </w:r>
          </w:p>
        </w:tc>
      </w:tr>
      <w:tr>
        <w:tblPrEx>
          <w:tblW w:w="8800" w:type="dxa"/>
          <w:tblInd w:w="0" w:type="dxa"/>
          <w:tblCellMar>
            <w:top w:w="0" w:type="dxa"/>
            <w:left w:w="108" w:type="dxa"/>
            <w:bottom w:w="0" w:type="dxa"/>
            <w:right w:w="108" w:type="dxa"/>
          </w:tblCellMar>
        </w:tblPrEx>
        <w:tc>
          <w:tcPr>
            <w:tcW w:w="1255" w:type="dxa"/>
            <w:vMerge/>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80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硬件运维服务技能</w:t>
            </w:r>
          </w:p>
        </w:tc>
        <w:tc>
          <w:tcPr>
            <w:tcW w:w="1212"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运维部</w:t>
            </w:r>
          </w:p>
        </w:tc>
        <w:tc>
          <w:tcPr>
            <w:tcW w:w="1584"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2025年5月</w:t>
            </w:r>
          </w:p>
        </w:tc>
        <w:tc>
          <w:tcPr>
            <w:tcW w:w="780"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内部</w:t>
            </w:r>
          </w:p>
        </w:tc>
        <w:tc>
          <w:tcPr>
            <w:tcW w:w="1161"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已完成</w:t>
            </w:r>
          </w:p>
        </w:tc>
      </w:tr>
      <w:tr>
        <w:tblPrEx>
          <w:tblW w:w="8800" w:type="dxa"/>
          <w:tblInd w:w="0" w:type="dxa"/>
          <w:tblCellMar>
            <w:top w:w="0" w:type="dxa"/>
            <w:left w:w="108" w:type="dxa"/>
            <w:bottom w:w="0" w:type="dxa"/>
            <w:right w:w="108" w:type="dxa"/>
          </w:tblCellMar>
        </w:tblPrEx>
        <w:tc>
          <w:tcPr>
            <w:tcW w:w="1255" w:type="dxa"/>
            <w:vMerge/>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80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ITSS服务质量与内审流程</w:t>
            </w:r>
          </w:p>
        </w:tc>
        <w:tc>
          <w:tcPr>
            <w:tcW w:w="1212"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质量部</w:t>
            </w:r>
          </w:p>
        </w:tc>
        <w:tc>
          <w:tcPr>
            <w:tcW w:w="1584"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2025年6月</w:t>
            </w:r>
          </w:p>
        </w:tc>
        <w:tc>
          <w:tcPr>
            <w:tcW w:w="780"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已完成</w:t>
            </w:r>
          </w:p>
        </w:tc>
      </w:tr>
      <w:tr>
        <w:tblPrEx>
          <w:tblW w:w="8800" w:type="dxa"/>
          <w:tblInd w:w="0" w:type="dxa"/>
          <w:tblCellMar>
            <w:top w:w="0" w:type="dxa"/>
            <w:left w:w="108" w:type="dxa"/>
            <w:bottom w:w="0" w:type="dxa"/>
            <w:right w:w="108" w:type="dxa"/>
          </w:tblCellMar>
        </w:tblPrEx>
        <w:tc>
          <w:tcPr>
            <w:tcW w:w="1255" w:type="dxa"/>
            <w:vMerge/>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80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IT软硬件采购流程入门</w:t>
            </w:r>
          </w:p>
        </w:tc>
        <w:tc>
          <w:tcPr>
            <w:tcW w:w="1212"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采购部</w:t>
            </w:r>
          </w:p>
        </w:tc>
        <w:tc>
          <w:tcPr>
            <w:tcW w:w="1584"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2025年6月</w:t>
            </w:r>
          </w:p>
        </w:tc>
        <w:tc>
          <w:tcPr>
            <w:tcW w:w="780"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流程讲解</w:t>
            </w:r>
          </w:p>
        </w:tc>
        <w:tc>
          <w:tcPr>
            <w:tcW w:w="1161"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已完成</w:t>
            </w:r>
          </w:p>
        </w:tc>
      </w:tr>
      <w:tr>
        <w:tblPrEx>
          <w:tblW w:w="8800" w:type="dxa"/>
          <w:tblInd w:w="0" w:type="dxa"/>
          <w:tblCellMar>
            <w:top w:w="0" w:type="dxa"/>
            <w:left w:w="108" w:type="dxa"/>
            <w:bottom w:w="0" w:type="dxa"/>
            <w:right w:w="108" w:type="dxa"/>
          </w:tblCellMar>
        </w:tblPrEx>
        <w:tc>
          <w:tcPr>
            <w:tcW w:w="1255" w:type="dxa"/>
            <w:vMerge w:val="restart"/>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第三季度</w:t>
            </w:r>
          </w:p>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80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前端开发框架培训</w:t>
            </w:r>
          </w:p>
        </w:tc>
        <w:tc>
          <w:tcPr>
            <w:tcW w:w="1212"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技术中心</w:t>
            </w:r>
          </w:p>
        </w:tc>
        <w:tc>
          <w:tcPr>
            <w:tcW w:w="1584"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2025年7月</w:t>
            </w:r>
          </w:p>
        </w:tc>
        <w:tc>
          <w:tcPr>
            <w:tcW w:w="780"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线上培训</w:t>
            </w:r>
          </w:p>
        </w:tc>
        <w:tc>
          <w:tcPr>
            <w:tcW w:w="1161"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已完成</w:t>
            </w:r>
          </w:p>
        </w:tc>
      </w:tr>
      <w:tr>
        <w:tblPrEx>
          <w:tblW w:w="8800" w:type="dxa"/>
          <w:tblInd w:w="0" w:type="dxa"/>
          <w:tblCellMar>
            <w:top w:w="0" w:type="dxa"/>
            <w:left w:w="108" w:type="dxa"/>
            <w:bottom w:w="0" w:type="dxa"/>
            <w:right w:w="108" w:type="dxa"/>
          </w:tblCellMar>
        </w:tblPrEx>
        <w:tc>
          <w:tcPr>
            <w:tcW w:w="1255" w:type="dxa"/>
            <w:vMerge/>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80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运维工具使用培训</w:t>
            </w:r>
          </w:p>
        </w:tc>
        <w:tc>
          <w:tcPr>
            <w:tcW w:w="1212"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运维部、技术中心</w:t>
            </w:r>
          </w:p>
        </w:tc>
        <w:tc>
          <w:tcPr>
            <w:tcW w:w="1584"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2025年8月</w:t>
            </w:r>
          </w:p>
        </w:tc>
        <w:tc>
          <w:tcPr>
            <w:tcW w:w="780"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认证培训</w:t>
            </w:r>
          </w:p>
        </w:tc>
        <w:tc>
          <w:tcPr>
            <w:tcW w:w="1161"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已完成</w:t>
            </w:r>
          </w:p>
        </w:tc>
      </w:tr>
      <w:tr>
        <w:tblPrEx>
          <w:tblW w:w="8800" w:type="dxa"/>
          <w:tblInd w:w="0" w:type="dxa"/>
          <w:tblCellMar>
            <w:top w:w="0" w:type="dxa"/>
            <w:left w:w="108" w:type="dxa"/>
            <w:bottom w:w="0" w:type="dxa"/>
            <w:right w:w="108" w:type="dxa"/>
          </w:tblCellMar>
        </w:tblPrEx>
        <w:tc>
          <w:tcPr>
            <w:tcW w:w="1255" w:type="dxa"/>
            <w:vMerge/>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80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客户沟通与投诉处理</w:t>
            </w:r>
          </w:p>
        </w:tc>
        <w:tc>
          <w:tcPr>
            <w:tcW w:w="1212"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运维部、服务台</w:t>
            </w:r>
          </w:p>
        </w:tc>
        <w:tc>
          <w:tcPr>
            <w:tcW w:w="1584"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2025年8月</w:t>
            </w:r>
          </w:p>
        </w:tc>
        <w:tc>
          <w:tcPr>
            <w:tcW w:w="780"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角色扮演</w:t>
            </w:r>
          </w:p>
        </w:tc>
        <w:tc>
          <w:tcPr>
            <w:tcW w:w="1161" w:type="dxa"/>
          </w:tcPr>
          <w:p>
            <w:pPr>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sz w:val="24"/>
                <w:szCs w:val="24"/>
                <w:vertAlign w:val="baseline"/>
                <w:lang w:val="en-US" w:eastAsia="zh-CN"/>
              </w:rPr>
            </w:pPr>
            <w:r>
              <w:rPr>
                <w:rFonts w:hint="eastAsia"/>
                <w:vertAlign w:val="baseline"/>
                <w:lang w:val="en-US" w:eastAsia="zh-CN"/>
              </w:rPr>
              <w:t>已完成</w:t>
            </w:r>
          </w:p>
        </w:tc>
      </w:tr>
      <w:tr>
        <w:tblPrEx>
          <w:tblW w:w="8800" w:type="dxa"/>
          <w:tblInd w:w="0" w:type="dxa"/>
          <w:tblCellMar>
            <w:top w:w="0" w:type="dxa"/>
            <w:left w:w="108" w:type="dxa"/>
            <w:bottom w:w="0" w:type="dxa"/>
            <w:right w:w="108" w:type="dxa"/>
          </w:tblCellMar>
        </w:tblPrEx>
        <w:tc>
          <w:tcPr>
            <w:tcW w:w="1255" w:type="dxa"/>
            <w:vMerge/>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p>
        </w:tc>
        <w:tc>
          <w:tcPr>
            <w:tcW w:w="280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项目管理基础</w:t>
            </w:r>
          </w:p>
        </w:tc>
        <w:tc>
          <w:tcPr>
            <w:tcW w:w="1212"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运维部、技术中心、质量部</w:t>
            </w:r>
          </w:p>
        </w:tc>
        <w:tc>
          <w:tcPr>
            <w:tcW w:w="1584"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2025年9月</w:t>
            </w:r>
          </w:p>
        </w:tc>
        <w:tc>
          <w:tcPr>
            <w:tcW w:w="780"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线上认证</w:t>
            </w:r>
          </w:p>
        </w:tc>
        <w:tc>
          <w:tcPr>
            <w:tcW w:w="1161" w:type="dxa"/>
          </w:tcPr>
          <w:p>
            <w:pPr>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sz w:val="24"/>
                <w:szCs w:val="24"/>
                <w:vertAlign w:val="baseline"/>
                <w:lang w:val="en-US" w:eastAsia="zh-CN"/>
              </w:rPr>
            </w:pPr>
            <w:r>
              <w:rPr>
                <w:rFonts w:hint="eastAsia"/>
                <w:vertAlign w:val="baseline"/>
                <w:lang w:val="en-US" w:eastAsia="zh-CN"/>
              </w:rPr>
              <w:t>已完成</w:t>
            </w:r>
          </w:p>
        </w:tc>
      </w:tr>
      <w:tr>
        <w:tblPrEx>
          <w:tblW w:w="8800" w:type="dxa"/>
          <w:tblInd w:w="0" w:type="dxa"/>
          <w:tblCellMar>
            <w:top w:w="0" w:type="dxa"/>
            <w:left w:w="108" w:type="dxa"/>
            <w:bottom w:w="0" w:type="dxa"/>
            <w:right w:w="108" w:type="dxa"/>
          </w:tblCellMar>
        </w:tblPrEx>
        <w:tc>
          <w:tcPr>
            <w:tcW w:w="1255" w:type="dxa"/>
            <w:vMerge w:val="restart"/>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vertAlign w:val="baseline"/>
                <w:lang w:val="en-US" w:eastAsia="zh-CN"/>
              </w:rPr>
            </w:pPr>
            <w:r>
              <w:rPr>
                <w:rFonts w:hint="eastAsia"/>
                <w:vertAlign w:val="baseline"/>
                <w:lang w:val="en-US" w:eastAsia="zh-CN"/>
              </w:rPr>
              <w:t>2025年</w:t>
            </w:r>
          </w:p>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第四季度</w:t>
            </w:r>
          </w:p>
        </w:tc>
        <w:tc>
          <w:tcPr>
            <w:tcW w:w="280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Python自动化运维脚本</w:t>
            </w:r>
          </w:p>
        </w:tc>
        <w:tc>
          <w:tcPr>
            <w:tcW w:w="1212"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运维部</w:t>
            </w:r>
          </w:p>
        </w:tc>
        <w:tc>
          <w:tcPr>
            <w:tcW w:w="1584"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2025年10月</w:t>
            </w:r>
          </w:p>
        </w:tc>
        <w:tc>
          <w:tcPr>
            <w:tcW w:w="780"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内部分享</w:t>
            </w:r>
          </w:p>
        </w:tc>
        <w:tc>
          <w:tcPr>
            <w:tcW w:w="1161" w:type="dxa"/>
            <w:shd w:val="clear" w:color="auto" w:fill="auto"/>
          </w:tcPr>
          <w:p>
            <w:pPr>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4"/>
                <w:vertAlign w:val="baseline"/>
                <w:lang w:val="en-US" w:eastAsia="zh-CN" w:bidi="ar-SA"/>
              </w:rPr>
            </w:pPr>
            <w:r>
              <w:rPr>
                <w:rFonts w:hint="eastAsia"/>
                <w:sz w:val="24"/>
                <w:szCs w:val="24"/>
                <w:vertAlign w:val="baseline"/>
                <w:lang w:val="en-US" w:eastAsia="zh-CN"/>
              </w:rPr>
              <w:t>已完成</w:t>
            </w:r>
          </w:p>
        </w:tc>
      </w:tr>
      <w:tr>
        <w:tblPrEx>
          <w:tblW w:w="8800" w:type="dxa"/>
          <w:tblInd w:w="0" w:type="dxa"/>
          <w:tblCellMar>
            <w:top w:w="0" w:type="dxa"/>
            <w:left w:w="108" w:type="dxa"/>
            <w:bottom w:w="0" w:type="dxa"/>
            <w:right w:w="108" w:type="dxa"/>
          </w:tblCellMar>
        </w:tblPrEx>
        <w:tc>
          <w:tcPr>
            <w:tcW w:w="1255" w:type="dxa"/>
            <w:vMerge/>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p>
        </w:tc>
        <w:tc>
          <w:tcPr>
            <w:tcW w:w="280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监控工具常见问题培训</w:t>
            </w:r>
          </w:p>
        </w:tc>
        <w:tc>
          <w:tcPr>
            <w:tcW w:w="1212"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运维部</w:t>
            </w:r>
          </w:p>
        </w:tc>
        <w:tc>
          <w:tcPr>
            <w:tcW w:w="1584"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2025年10月</w:t>
            </w:r>
          </w:p>
        </w:tc>
        <w:tc>
          <w:tcPr>
            <w:tcW w:w="780"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内部分享</w:t>
            </w:r>
          </w:p>
        </w:tc>
        <w:tc>
          <w:tcPr>
            <w:tcW w:w="1161" w:type="dxa"/>
            <w:shd w:val="clear" w:color="auto" w:fill="auto"/>
          </w:tcPr>
          <w:p>
            <w:pPr>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4"/>
                <w:vertAlign w:val="baseline"/>
                <w:lang w:val="en-US" w:eastAsia="zh-CN" w:bidi="ar-SA"/>
              </w:rPr>
            </w:pPr>
            <w:r>
              <w:rPr>
                <w:rFonts w:hint="eastAsia"/>
                <w:sz w:val="24"/>
                <w:szCs w:val="24"/>
                <w:vertAlign w:val="baseline"/>
                <w:lang w:val="en-US" w:eastAsia="zh-CN"/>
              </w:rPr>
              <w:t>已完成</w:t>
            </w:r>
          </w:p>
        </w:tc>
      </w:tr>
      <w:tr>
        <w:tblPrEx>
          <w:tblW w:w="8800" w:type="dxa"/>
          <w:tblInd w:w="0" w:type="dxa"/>
          <w:tblCellMar>
            <w:top w:w="0" w:type="dxa"/>
            <w:left w:w="108" w:type="dxa"/>
            <w:bottom w:w="0" w:type="dxa"/>
            <w:right w:w="108" w:type="dxa"/>
          </w:tblCellMar>
        </w:tblPrEx>
        <w:tc>
          <w:tcPr>
            <w:tcW w:w="1255" w:type="dxa"/>
            <w:vMerge/>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p>
        </w:tc>
        <w:tc>
          <w:tcPr>
            <w:tcW w:w="280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服务知识管理培训</w:t>
            </w:r>
          </w:p>
        </w:tc>
        <w:tc>
          <w:tcPr>
            <w:tcW w:w="1212"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全体员工</w:t>
            </w:r>
          </w:p>
        </w:tc>
        <w:tc>
          <w:tcPr>
            <w:tcW w:w="1584"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2025年11月</w:t>
            </w:r>
          </w:p>
        </w:tc>
        <w:tc>
          <w:tcPr>
            <w:tcW w:w="780"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总结</w:t>
            </w:r>
          </w:p>
        </w:tc>
        <w:tc>
          <w:tcPr>
            <w:tcW w:w="1161" w:type="dxa"/>
          </w:tcPr>
          <w:p>
            <w:pPr>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sz w:val="24"/>
                <w:szCs w:val="24"/>
                <w:vertAlign w:val="baseline"/>
                <w:lang w:val="en-US" w:eastAsia="zh-CN"/>
              </w:rPr>
            </w:pPr>
            <w:r>
              <w:rPr>
                <w:rFonts w:hint="eastAsia"/>
                <w:sz w:val="24"/>
                <w:szCs w:val="24"/>
                <w:vertAlign w:val="baseline"/>
                <w:lang w:val="en-US" w:eastAsia="zh-CN"/>
              </w:rPr>
              <w:t>已完成</w:t>
            </w:r>
          </w:p>
        </w:tc>
      </w:tr>
      <w:tr>
        <w:tblPrEx>
          <w:tblW w:w="8800" w:type="dxa"/>
          <w:tblInd w:w="0" w:type="dxa"/>
          <w:tblCellMar>
            <w:top w:w="0" w:type="dxa"/>
            <w:left w:w="108" w:type="dxa"/>
            <w:bottom w:w="0" w:type="dxa"/>
            <w:right w:w="108" w:type="dxa"/>
          </w:tblCellMar>
        </w:tblPrEx>
        <w:tc>
          <w:tcPr>
            <w:tcW w:w="1255" w:type="dxa"/>
            <w:vMerge/>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p>
        </w:tc>
        <w:tc>
          <w:tcPr>
            <w:tcW w:w="2808" w:type="dxa"/>
            <w:shd w:val="clear" w:color="auto" w:fill="auto"/>
          </w:tcPr>
          <w:p>
            <w:pPr>
              <w:pStyle w:val="a1"/>
              <w:keepNext w:val="0"/>
              <w:keepLines w:val="0"/>
              <w:pageBreakBefore w:val="0"/>
              <w:widowControl w:val="0"/>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团队管理与领导能力启蒙</w:t>
            </w:r>
          </w:p>
        </w:tc>
        <w:tc>
          <w:tcPr>
            <w:tcW w:w="1212"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部门经理、运维项目经理</w:t>
            </w:r>
          </w:p>
        </w:tc>
        <w:tc>
          <w:tcPr>
            <w:tcW w:w="1584" w:type="dxa"/>
            <w:shd w:val="clear" w:color="auto" w:fill="auto"/>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2025年11月</w:t>
            </w:r>
          </w:p>
        </w:tc>
        <w:tc>
          <w:tcPr>
            <w:tcW w:w="780" w:type="dxa"/>
          </w:tcPr>
          <w:p>
            <w:pPr>
              <w:pStyle w:val="a1"/>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default"/>
                <w:vertAlign w:val="baseline"/>
                <w:lang w:val="en-US" w:eastAsia="zh-CN"/>
              </w:rPr>
            </w:pPr>
            <w:r>
              <w:rPr>
                <w:rFonts w:hint="eastAsia"/>
                <w:vertAlign w:val="baseline"/>
                <w:lang w:val="en-US" w:eastAsia="zh-CN"/>
              </w:rPr>
              <w:t>外聘</w:t>
            </w:r>
          </w:p>
        </w:tc>
        <w:tc>
          <w:tcPr>
            <w:tcW w:w="1161" w:type="dxa"/>
          </w:tcPr>
          <w:p>
            <w:pPr>
              <w:keepNext w:val="0"/>
              <w:keepLines w:val="0"/>
              <w:pageBreakBefore w:val="0"/>
              <w:widowControl/>
              <w:kinsoku w:val="0"/>
              <w:wordWrap/>
              <w:overflowPunct/>
              <w:topLinePunct w:val="0"/>
              <w:autoSpaceDE w:val="0"/>
              <w:autoSpaceDN w:val="0"/>
              <w:bidi w:val="0"/>
              <w:adjustRightInd w:val="0"/>
              <w:snapToGrid w:val="0"/>
              <w:ind w:right="0" w:firstLine="0" w:rightChars="0" w:firstLineChars="0"/>
              <w:jc w:val="left"/>
              <w:textAlignment w:val="baseline"/>
              <w:rPr>
                <w:rFonts w:hint="eastAsia"/>
                <w:sz w:val="24"/>
                <w:szCs w:val="24"/>
                <w:vertAlign w:val="baseline"/>
                <w:lang w:val="en-US" w:eastAsia="zh-CN"/>
              </w:rPr>
            </w:pPr>
            <w:r>
              <w:rPr>
                <w:rFonts w:hint="eastAsia"/>
                <w:sz w:val="24"/>
                <w:szCs w:val="24"/>
                <w:vertAlign w:val="baseline"/>
                <w:lang w:val="en-US" w:eastAsia="zh-CN"/>
              </w:rPr>
              <w:t>已完成</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32275"/>
      <w:bookmarkStart w:id="16" w:name="_Toc14189"/>
      <w:r>
        <w:rPr>
          <w:rFonts w:hint="eastAsia"/>
          <w:lang w:val="en-US" w:eastAsia="zh-CN"/>
        </w:rPr>
        <w:t>人员备份管理</w:t>
      </w:r>
      <w:bookmarkEnd w:id="15"/>
      <w:r>
        <w:rPr>
          <w:rFonts w:hint="eastAsia"/>
          <w:lang w:val="en-US" w:eastAsia="zh-CN"/>
        </w:rPr>
        <w:t>报告</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rPr>
        <w:t>公司在运维部经理、</w:t>
      </w:r>
      <w:r>
        <w:rPr>
          <w:rFonts w:hint="eastAsia"/>
          <w:lang w:val="en-US" w:eastAsia="zh-CN"/>
        </w:rPr>
        <w:t>开发工程师</w:t>
      </w:r>
      <w:r>
        <w:rPr>
          <w:rFonts w:hint="default"/>
        </w:rPr>
        <w:t>、</w:t>
      </w:r>
      <w:r>
        <w:rPr>
          <w:rFonts w:hint="eastAsia"/>
          <w:lang w:val="en-US" w:eastAsia="zh-CN"/>
        </w:rPr>
        <w:t>采购专员等</w:t>
      </w:r>
      <w:r>
        <w:rPr>
          <w:rFonts w:hint="default"/>
        </w:rPr>
        <w:t>关键岗位全面推行AB岗备份机制，有效保障A岗员工因休假、请假等原因离岗时，其职责由具备相应业务能力的B岗员工承接，确保业务连续性与稳定性。</w:t>
      </w:r>
      <w:bookmarkStart w:id="17" w:name="bookmark14"/>
      <w:bookmarkEnd w:id="1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8129"/>
      <w:r>
        <w:rPr>
          <w:rFonts w:hint="eastAsia"/>
          <w:lang w:val="en-US" w:eastAsia="zh-CN"/>
        </w:rPr>
        <w:t>资源管理报告</w:t>
      </w:r>
      <w:bookmarkEnd w:id="18"/>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7393"/>
      <w:r>
        <w:rPr>
          <w:rFonts w:hint="eastAsia"/>
          <w:lang w:val="en-US" w:eastAsia="zh-CN"/>
        </w:rPr>
        <w:t>运维工具管理报告</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于11月中旬分别对禅道管理工具、阿里云飞天企业版及DASUSM平台监控工具进行了一次自评估并生成自评估报告，达到每年至少进行一次自评估的要求。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28827"/>
      <w:r>
        <w:rPr>
          <w:rFonts w:hint="eastAsia"/>
          <w:lang w:val="en-US" w:eastAsia="zh-CN"/>
        </w:rPr>
        <w:t>服务台管理报告</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服务台团队设定了清晰的FCR达标值（当前设定为月度≥90%），并将该指标纳入团队的月度绩效考评体系。通过禅道内置的统计报表功能，可自动生成FCR数据看板，使考核过程公开、透明、数据驱动。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通过对服务台一线问题解决率进行汇总统计，截止目前均满足服务台考核指标要求。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1" w:name="_Toc3020"/>
      <w:r>
        <w:rPr>
          <w:rFonts w:hint="eastAsia"/>
          <w:lang w:val="en-US" w:eastAsia="zh-CN"/>
        </w:rPr>
        <w:t>备件库管理报告</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为保证备品备件质量，公司组织对供应商服务能力进行了严格考核</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分别对2025年第一（1-3月）、二（4-6月）和三（7-9月）季度备品备件情况进行汇总统计，2025年第一、二和三季度的关键备件可用率分别为98%、99%、99%。满足备件库考核指标的要求。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20485"/>
      <w:r>
        <w:rPr>
          <w:rFonts w:hint="eastAsia"/>
          <w:lang w:val="en-US" w:eastAsia="zh-CN"/>
        </w:rPr>
        <w:t>服务知识管理报告</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1月至3月，服务知识利用率分别为55%、58%、60%；4月至6月进一步提升至65%、68%、70%；7-9月份，进一步提升至72%、75%、76%；10月和11月服务知识利用率均为80%。持续超出既定目标，这反映出知识内容在实际故障排查与问题解决过程中的应用广度与深度正在不断拓展。在知识积累方面，第一季度共审核并录入高质量知识条目35条，第二季度录入量增长至48条，第三季度录入量增长至56条，内容全面覆盖典型故障根因分析与解决方案、标准化操作流程、系统配置规范及最佳实践等多个维度，为运维团队提供了坚实的技术后盾。</w:t>
      </w:r>
    </w:p>
    <w:p>
      <w:pPr>
        <w:pStyle w:val="a1"/>
        <w:rPr>
          <w:rFonts w:hint="eastAsia"/>
          <w:lang w:val="en-US" w:eastAsia="zh-CN"/>
        </w:rPr>
      </w:pPr>
      <w:r>
        <w:rPr>
          <w:rFonts w:hint="eastAsia"/>
          <w:lang w:val="en-US" w:eastAsia="zh-CN"/>
        </w:rPr>
        <w:t>服务知识体系的成功应用，已显著转化为运维团队的实际效能提升。它不仅减少了对特定资深员工的经验依赖，使一线工程师能够依托标准化方案快速独立解决大部分常见问题，还有效避免了同类问题的重复发生与重复处理，降低了团队重复工作量。更为重要的是，该系统已成为新员工培训和能力建设的重要平台，极大缩短了团队成员的成长周期，为运维服务的标准化、专业化与高效化提供了持续动力，全面支撑了公司运维服务能力成熟度的升级与巩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30505"/>
      <w:r>
        <w:rPr>
          <w:rFonts w:hint="eastAsia"/>
          <w:lang w:val="en-US" w:eastAsia="zh-CN"/>
        </w:rPr>
        <w:t>最终软件库管理报告</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经统计，完成涉及核心业务系统的42次正式版本发布，涵盖微服务、前端应用及数据库脚本等多个组件类别。通过将生产环境核查结果与Gitlab Release清单进行逐一比对，确认其中41次发布的版本信息与最终软件库记录完全一致。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根据核算，2025年最终软件库版本一致率达到97.6%，达到95%的年度目标。</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18117"/>
      <w:r>
        <w:rPr>
          <w:rFonts w:hint="eastAsia"/>
          <w:lang w:val="en-US" w:eastAsia="zh-CN"/>
        </w:rPr>
        <w:t>服务数据管理报告</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在2025年第</w:t>
      </w:r>
      <w:r>
        <w:rPr>
          <w:rFonts w:hint="eastAsia"/>
          <w:lang w:val="en-US" w:eastAsia="zh-CN"/>
        </w:rPr>
        <w:t>一</w:t>
      </w:r>
      <w:r>
        <w:rPr>
          <w:rFonts w:hint="default"/>
          <w:lang w:val="en-US" w:eastAsia="zh-CN"/>
        </w:rPr>
        <w:t>、</w:t>
      </w:r>
      <w:r>
        <w:rPr>
          <w:rFonts w:hint="eastAsia"/>
          <w:lang w:val="en-US" w:eastAsia="zh-CN"/>
        </w:rPr>
        <w:t>二和三</w:t>
      </w:r>
      <w:r>
        <w:rPr>
          <w:rFonts w:hint="default"/>
          <w:lang w:val="en-US" w:eastAsia="zh-CN"/>
        </w:rPr>
        <w:t>季度的考核周期内，我们通过自动化校验与人工抽样相结合的方式，对运维服务过程中产生的核心数据进行了质量检查。</w:t>
      </w:r>
      <w:r>
        <w:rPr>
          <w:rFonts w:hint="eastAsia"/>
          <w:lang w:val="en-US" w:eastAsia="zh-CN"/>
        </w:rPr>
        <w:t>2025年</w:t>
      </w:r>
      <w:r>
        <w:rPr>
          <w:rFonts w:hint="default"/>
          <w:lang w:val="en-US" w:eastAsia="zh-CN"/>
        </w:rPr>
        <w:t>第</w:t>
      </w:r>
      <w:r>
        <w:rPr>
          <w:rFonts w:hint="eastAsia"/>
          <w:lang w:val="en-US" w:eastAsia="zh-CN"/>
        </w:rPr>
        <w:t>一</w:t>
      </w:r>
      <w:r>
        <w:rPr>
          <w:rFonts w:hint="default"/>
          <w:lang w:val="en-US" w:eastAsia="zh-CN"/>
        </w:rPr>
        <w:t>季度（</w:t>
      </w:r>
      <w:r>
        <w:rPr>
          <w:rFonts w:hint="eastAsia"/>
          <w:lang w:val="en-US" w:eastAsia="zh-CN"/>
        </w:rPr>
        <w:t>1</w:t>
      </w:r>
      <w:r>
        <w:rPr>
          <w:rFonts w:hint="default"/>
          <w:lang w:val="en-US" w:eastAsia="zh-CN"/>
        </w:rPr>
        <w:t>-</w:t>
      </w:r>
      <w:r>
        <w:rPr>
          <w:rFonts w:hint="eastAsia"/>
          <w:lang w:val="en-US" w:eastAsia="zh-CN"/>
        </w:rPr>
        <w:t>3</w:t>
      </w:r>
      <w:r>
        <w:rPr>
          <w:rFonts w:hint="default"/>
          <w:lang w:val="en-US" w:eastAsia="zh-CN"/>
        </w:rPr>
        <w:t>月） 抽样检查服务数据记录</w:t>
      </w:r>
      <w:r>
        <w:rPr>
          <w:rFonts w:hint="eastAsia"/>
          <w:lang w:val="en-US" w:eastAsia="zh-CN"/>
        </w:rPr>
        <w:t>2</w:t>
      </w:r>
      <w:r>
        <w:rPr>
          <w:rFonts w:hint="default"/>
          <w:lang w:val="en-US" w:eastAsia="zh-CN"/>
        </w:rPr>
        <w:t>,542条，发现数据问题42条，数据准确率达到9</w:t>
      </w:r>
      <w:r>
        <w:rPr>
          <w:rFonts w:hint="eastAsia"/>
          <w:lang w:val="en-US" w:eastAsia="zh-CN"/>
        </w:rPr>
        <w:t>8</w:t>
      </w:r>
      <w:r>
        <w:rPr>
          <w:rFonts w:hint="default"/>
          <w:lang w:val="en-US" w:eastAsia="zh-CN"/>
        </w:rPr>
        <w:t>.</w:t>
      </w:r>
      <w:r>
        <w:rPr>
          <w:rFonts w:hint="eastAsia"/>
          <w:lang w:val="en-US" w:eastAsia="zh-CN"/>
        </w:rPr>
        <w:t>35</w:t>
      </w:r>
      <w:r>
        <w:rPr>
          <w:rFonts w:hint="default"/>
          <w:lang w:val="en-US" w:eastAsia="zh-CN"/>
        </w:rPr>
        <w:t>%；第</w:t>
      </w:r>
      <w:r>
        <w:rPr>
          <w:rFonts w:hint="eastAsia"/>
          <w:lang w:val="en-US" w:eastAsia="zh-CN"/>
        </w:rPr>
        <w:t>二</w:t>
      </w:r>
      <w:r>
        <w:rPr>
          <w:rFonts w:hint="default"/>
          <w:lang w:val="en-US" w:eastAsia="zh-CN"/>
        </w:rPr>
        <w:t>季度（</w:t>
      </w:r>
      <w:r>
        <w:rPr>
          <w:rFonts w:hint="eastAsia"/>
          <w:lang w:val="en-US" w:eastAsia="zh-CN"/>
        </w:rPr>
        <w:t>4</w:t>
      </w:r>
      <w:r>
        <w:rPr>
          <w:rFonts w:hint="default"/>
          <w:lang w:val="en-US" w:eastAsia="zh-CN"/>
        </w:rPr>
        <w:t>-</w:t>
      </w:r>
      <w:r>
        <w:rPr>
          <w:rFonts w:hint="eastAsia"/>
          <w:lang w:val="en-US" w:eastAsia="zh-CN"/>
        </w:rPr>
        <w:t>5</w:t>
      </w:r>
      <w:r>
        <w:rPr>
          <w:rFonts w:hint="default"/>
          <w:lang w:val="en-US" w:eastAsia="zh-CN"/>
        </w:rPr>
        <w:t>月） 抽样检查数据量增长至</w:t>
      </w:r>
      <w:r>
        <w:rPr>
          <w:rFonts w:hint="eastAsia"/>
          <w:lang w:val="en-US" w:eastAsia="zh-CN"/>
        </w:rPr>
        <w:t>3562</w:t>
      </w:r>
      <w:r>
        <w:rPr>
          <w:rFonts w:hint="default"/>
          <w:lang w:val="en-US" w:eastAsia="zh-CN"/>
        </w:rPr>
        <w:t>条，发现数据问题31条，数据准确率提升至99.</w:t>
      </w:r>
      <w:r>
        <w:rPr>
          <w:rFonts w:hint="eastAsia"/>
          <w:lang w:val="en-US" w:eastAsia="zh-CN"/>
        </w:rPr>
        <w:t>12</w:t>
      </w:r>
      <w:r>
        <w:rPr>
          <w:rFonts w:hint="default"/>
          <w:lang w:val="en-US" w:eastAsia="zh-CN"/>
        </w:rPr>
        <w:t>%</w:t>
      </w:r>
      <w:r>
        <w:rPr>
          <w:rFonts w:hint="eastAsia"/>
          <w:lang w:val="en-US" w:eastAsia="zh-CN"/>
        </w:rPr>
        <w:t>；第三季度抽样4100条数据全部准确，准确率达到100%。三</w:t>
      </w:r>
      <w:r>
        <w:rPr>
          <w:rFonts w:hint="default"/>
          <w:lang w:val="en-US" w:eastAsia="zh-CN"/>
        </w:rPr>
        <w:t>个季度的数据准确率均显著优于既定考核目标</w:t>
      </w:r>
      <w:r>
        <w:rPr>
          <w:rFonts w:hint="eastAsia"/>
          <w:lang w:val="en-US" w:eastAsia="zh-CN"/>
        </w:rPr>
        <w:t>且有上升趋势</w:t>
      </w:r>
      <w:r>
        <w:rPr>
          <w:rFonts w:hint="default"/>
          <w:lang w:val="en-US" w:eastAsia="zh-CN"/>
        </w:rPr>
        <w:t>。</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截止2025年11月</w:t>
      </w:r>
      <w:r>
        <w:rPr>
          <w:rFonts w:hint="default"/>
          <w:lang w:val="en-US" w:eastAsia="zh-CN"/>
        </w:rPr>
        <w:t>，服务数据质量管理已初见成效。基于高质量的服务数据，我们能够准确评估各服务团队的工作效能，及时发现服务流程中的瓶颈问题，并为资源配置决策提供可靠依据。这一成绩为初创期的运维服务体系奠定了坚实的数据基础，也为后续实现数据驱动的精细化管理提供了可能。未来，我们将继续完善数据质量管理体系，在保持高准确率的同时，持续拓展数据在运维服务中的价值空间。</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5" w:name="_Toc26505"/>
      <w:r>
        <w:rPr>
          <w:rFonts w:hint="eastAsia"/>
          <w:lang w:val="en-US" w:eastAsia="zh-CN"/>
        </w:rPr>
        <w:t>技术管理报告</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针对禅道现有审批流中存在的的弊端进行二次开发，同时为促进知识传承进行运维手册研发。累计计划投入研发经费20.3万元。二次开发进度如表1-4、运维手册研发进度如表1-5、研发经费使用情况如表1-6所示。</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31333"/>
      <w:r>
        <w:rPr>
          <w:rFonts w:hint="eastAsia"/>
          <w:lang w:val="en-US" w:eastAsia="zh-CN"/>
        </w:rPr>
        <w:t>运维工具二次开发</w:t>
      </w:r>
      <w:bookmarkEnd w:id="26"/>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 xml:space="preserve"> 研发进度表</w:t>
      </w:r>
    </w:p>
    <w:tbl>
      <w:tblPr>
        <w:tblStyle w:val="TableGrid"/>
        <w:tblW w:w="7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25"/>
        <w:gridCol w:w="1271"/>
        <w:gridCol w:w="2912"/>
        <w:gridCol w:w="2059"/>
      </w:tblGrid>
      <w:tr>
        <w:tblPrEx>
          <w:tblW w:w="7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425" w:type="dxa"/>
          </w:tcPr>
          <w:p>
            <w:pPr>
              <w:pStyle w:val="a1"/>
              <w:widowControl w:val="0"/>
              <w:ind w:left="0" w:right="0" w:firstLine="0" w:leftChars="0" w:rightChars="0" w:firstLineChars="0"/>
              <w:jc w:val="center"/>
              <w:rPr>
                <w:rFonts w:hint="default"/>
                <w:b/>
                <w:bCs/>
                <w:vertAlign w:val="baseline"/>
                <w:lang w:val="en-US" w:eastAsia="zh-CN"/>
              </w:rPr>
            </w:pPr>
            <w:r>
              <w:rPr>
                <w:rFonts w:hint="eastAsia"/>
                <w:b/>
                <w:bCs/>
                <w:vertAlign w:val="baseline"/>
                <w:lang w:val="en-US" w:eastAsia="zh-CN"/>
              </w:rPr>
              <w:t>研发阶段</w:t>
            </w:r>
          </w:p>
        </w:tc>
        <w:tc>
          <w:tcPr>
            <w:tcW w:w="1271" w:type="dxa"/>
          </w:tcPr>
          <w:p>
            <w:pPr>
              <w:pStyle w:val="a1"/>
              <w:widowControl w:val="0"/>
              <w:ind w:left="0" w:right="0" w:firstLine="0" w:leftChars="0" w:rightChars="0" w:firstLineChars="0"/>
              <w:jc w:val="center"/>
              <w:rPr>
                <w:rFonts w:hint="default"/>
                <w:b/>
                <w:bCs/>
                <w:vertAlign w:val="baseline"/>
                <w:lang w:val="en-US" w:eastAsia="zh-CN"/>
              </w:rPr>
            </w:pPr>
            <w:r>
              <w:rPr>
                <w:rFonts w:hint="eastAsia"/>
                <w:b/>
                <w:bCs/>
                <w:vertAlign w:val="baseline"/>
                <w:lang w:val="en-US" w:eastAsia="zh-CN"/>
              </w:rPr>
              <w:t>计划时间</w:t>
            </w:r>
          </w:p>
        </w:tc>
        <w:tc>
          <w:tcPr>
            <w:tcW w:w="2912" w:type="dxa"/>
          </w:tcPr>
          <w:p>
            <w:pPr>
              <w:pStyle w:val="a1"/>
              <w:widowControl w:val="0"/>
              <w:ind w:left="0" w:right="0" w:firstLine="0" w:leftChars="0" w:rightChars="0" w:firstLineChars="0"/>
              <w:jc w:val="both"/>
              <w:rPr>
                <w:rFonts w:hint="default"/>
                <w:b/>
                <w:bCs/>
                <w:vertAlign w:val="baseline"/>
                <w:lang w:val="en-US" w:eastAsia="zh-CN"/>
              </w:rPr>
            </w:pPr>
            <w:r>
              <w:rPr>
                <w:rFonts w:hint="eastAsia"/>
                <w:b/>
                <w:bCs/>
                <w:vertAlign w:val="baseline"/>
                <w:lang w:val="en-US" w:eastAsia="zh-CN"/>
              </w:rPr>
              <w:t>工作内容</w:t>
            </w:r>
          </w:p>
        </w:tc>
        <w:tc>
          <w:tcPr>
            <w:tcW w:w="2059" w:type="dxa"/>
          </w:tcPr>
          <w:p>
            <w:pPr>
              <w:pStyle w:val="a1"/>
              <w:widowControl w:val="0"/>
              <w:ind w:left="0" w:right="0" w:firstLine="0" w:leftChars="0" w:rightChars="0" w:firstLineChars="0"/>
              <w:jc w:val="center"/>
              <w:rPr>
                <w:rFonts w:hint="default"/>
                <w:b/>
                <w:bCs/>
                <w:vertAlign w:val="baseline"/>
                <w:lang w:val="en-US" w:eastAsia="zh-CN"/>
              </w:rPr>
            </w:pPr>
            <w:r>
              <w:rPr>
                <w:rFonts w:hint="eastAsia"/>
                <w:b/>
                <w:bCs/>
                <w:vertAlign w:val="baseline"/>
                <w:lang w:val="en-US" w:eastAsia="zh-CN"/>
              </w:rPr>
              <w:t>完成情况</w:t>
            </w:r>
          </w:p>
        </w:tc>
      </w:tr>
      <w:tr>
        <w:tblPrEx>
          <w:tblW w:w="7667" w:type="dxa"/>
          <w:jc w:val="center"/>
          <w:tblCellMar>
            <w:top w:w="0" w:type="dxa"/>
            <w:left w:w="108" w:type="dxa"/>
            <w:bottom w:w="0" w:type="dxa"/>
            <w:right w:w="108" w:type="dxa"/>
          </w:tblCellMar>
        </w:tblPrEx>
        <w:trPr>
          <w:jc w:val="center"/>
        </w:trPr>
        <w:tc>
          <w:tcPr>
            <w:tcW w:w="1425"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流程模型设计</w:t>
            </w:r>
          </w:p>
        </w:tc>
        <w:tc>
          <w:tcPr>
            <w:tcW w:w="1271"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2025.4</w:t>
            </w:r>
          </w:p>
        </w:tc>
        <w:tc>
          <w:tcPr>
            <w:tcW w:w="2912"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收集运维相关部门的需求，进行分析，生成工作流业务模型，状态图、</w:t>
            </w:r>
          </w:p>
        </w:tc>
        <w:tc>
          <w:tcPr>
            <w:tcW w:w="2059" w:type="dxa"/>
            <w:vAlign w:val="center"/>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已完成</w:t>
            </w:r>
          </w:p>
        </w:tc>
      </w:tr>
      <w:tr>
        <w:tblPrEx>
          <w:tblW w:w="7667" w:type="dxa"/>
          <w:jc w:val="center"/>
          <w:tblCellMar>
            <w:top w:w="0" w:type="dxa"/>
            <w:left w:w="108" w:type="dxa"/>
            <w:bottom w:w="0" w:type="dxa"/>
            <w:right w:w="108" w:type="dxa"/>
          </w:tblCellMar>
        </w:tblPrEx>
        <w:trPr>
          <w:jc w:val="center"/>
        </w:trPr>
        <w:tc>
          <w:tcPr>
            <w:tcW w:w="1425"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开发、配置</w:t>
            </w:r>
          </w:p>
        </w:tc>
        <w:tc>
          <w:tcPr>
            <w:tcW w:w="1271"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2025.5-7</w:t>
            </w:r>
          </w:p>
        </w:tc>
        <w:tc>
          <w:tcPr>
            <w:tcW w:w="2912"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开发自定义工作流</w:t>
            </w:r>
          </w:p>
        </w:tc>
        <w:tc>
          <w:tcPr>
            <w:tcW w:w="2059" w:type="dxa"/>
            <w:vAlign w:val="center"/>
          </w:tcPr>
          <w:p>
            <w:pPr>
              <w:pStyle w:val="a1"/>
              <w:widowControl w:val="0"/>
              <w:ind w:left="0" w:right="0" w:firstLine="0" w:leftChars="0" w:rightChars="0" w:firstLineChars="0"/>
              <w:jc w:val="center"/>
              <w:rPr>
                <w:rFonts w:hint="eastAsia"/>
                <w:vertAlign w:val="baseline"/>
                <w:lang w:val="en-US" w:eastAsia="zh-CN"/>
              </w:rPr>
            </w:pPr>
            <w:r>
              <w:rPr>
                <w:rFonts w:hint="eastAsia"/>
                <w:vertAlign w:val="baseline"/>
                <w:lang w:val="en-US" w:eastAsia="zh-CN"/>
              </w:rPr>
              <w:t>已完成</w:t>
            </w:r>
          </w:p>
        </w:tc>
      </w:tr>
      <w:tr>
        <w:tblPrEx>
          <w:tblW w:w="7667" w:type="dxa"/>
          <w:jc w:val="center"/>
          <w:tblCellMar>
            <w:top w:w="0" w:type="dxa"/>
            <w:left w:w="108" w:type="dxa"/>
            <w:bottom w:w="0" w:type="dxa"/>
            <w:right w:w="108" w:type="dxa"/>
          </w:tblCellMar>
        </w:tblPrEx>
        <w:trPr>
          <w:jc w:val="center"/>
        </w:trPr>
        <w:tc>
          <w:tcPr>
            <w:tcW w:w="1425"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测试、优化</w:t>
            </w:r>
          </w:p>
        </w:tc>
        <w:tc>
          <w:tcPr>
            <w:tcW w:w="1271"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2025.8</w:t>
            </w:r>
          </w:p>
        </w:tc>
        <w:tc>
          <w:tcPr>
            <w:tcW w:w="2912"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进行单元、集成测试，修改BUG</w:t>
            </w:r>
          </w:p>
        </w:tc>
        <w:tc>
          <w:tcPr>
            <w:tcW w:w="2059" w:type="dxa"/>
            <w:vAlign w:val="center"/>
          </w:tcPr>
          <w:p>
            <w:pPr>
              <w:pStyle w:val="a1"/>
              <w:widowControl w:val="0"/>
              <w:ind w:left="0" w:right="0" w:firstLine="0" w:leftChars="0" w:rightChars="0" w:firstLineChars="0"/>
              <w:jc w:val="center"/>
              <w:rPr>
                <w:rFonts w:hint="eastAsia"/>
                <w:vertAlign w:val="baseline"/>
                <w:lang w:val="en-US" w:eastAsia="zh-CN"/>
              </w:rPr>
            </w:pPr>
            <w:r>
              <w:rPr>
                <w:rFonts w:hint="eastAsia"/>
                <w:vertAlign w:val="baseline"/>
                <w:lang w:val="en-US" w:eastAsia="zh-CN"/>
              </w:rPr>
              <w:t>已完成</w:t>
            </w:r>
          </w:p>
        </w:tc>
      </w:tr>
      <w:tr>
        <w:tblPrEx>
          <w:tblW w:w="7667" w:type="dxa"/>
          <w:jc w:val="center"/>
          <w:tblCellMar>
            <w:top w:w="0" w:type="dxa"/>
            <w:left w:w="108" w:type="dxa"/>
            <w:bottom w:w="0" w:type="dxa"/>
            <w:right w:w="108" w:type="dxa"/>
          </w:tblCellMar>
        </w:tblPrEx>
        <w:trPr>
          <w:jc w:val="center"/>
        </w:trPr>
        <w:tc>
          <w:tcPr>
            <w:tcW w:w="1425"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试运行</w:t>
            </w:r>
          </w:p>
        </w:tc>
        <w:tc>
          <w:tcPr>
            <w:tcW w:w="1271"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2025.8</w:t>
            </w:r>
          </w:p>
        </w:tc>
        <w:tc>
          <w:tcPr>
            <w:tcW w:w="2912"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优先在运维部试运行，监测使用效果，提出改进意见</w:t>
            </w:r>
          </w:p>
        </w:tc>
        <w:tc>
          <w:tcPr>
            <w:tcW w:w="2059" w:type="dxa"/>
            <w:vAlign w:val="center"/>
          </w:tcPr>
          <w:p>
            <w:pPr>
              <w:pStyle w:val="a1"/>
              <w:widowControl w:val="0"/>
              <w:ind w:left="0" w:right="0" w:firstLine="0" w:leftChars="0" w:rightChars="0" w:firstLineChars="0"/>
              <w:jc w:val="center"/>
              <w:rPr>
                <w:rFonts w:hint="eastAsia"/>
                <w:vertAlign w:val="baseline"/>
                <w:lang w:val="en-US" w:eastAsia="zh-CN"/>
              </w:rPr>
            </w:pPr>
            <w:r>
              <w:rPr>
                <w:rFonts w:hint="eastAsia"/>
                <w:vertAlign w:val="baseline"/>
                <w:lang w:val="en-US" w:eastAsia="zh-CN"/>
              </w:rPr>
              <w:t>已完成</w:t>
            </w:r>
          </w:p>
        </w:tc>
      </w:tr>
      <w:tr>
        <w:tblPrEx>
          <w:tblW w:w="7667" w:type="dxa"/>
          <w:jc w:val="center"/>
          <w:tblCellMar>
            <w:top w:w="0" w:type="dxa"/>
            <w:left w:w="108" w:type="dxa"/>
            <w:bottom w:w="0" w:type="dxa"/>
            <w:right w:w="108" w:type="dxa"/>
          </w:tblCellMar>
        </w:tblPrEx>
        <w:trPr>
          <w:jc w:val="center"/>
        </w:trPr>
        <w:tc>
          <w:tcPr>
            <w:tcW w:w="1425"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正式运行</w:t>
            </w:r>
          </w:p>
        </w:tc>
        <w:tc>
          <w:tcPr>
            <w:tcW w:w="1271"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2025.11</w:t>
            </w:r>
          </w:p>
        </w:tc>
        <w:tc>
          <w:tcPr>
            <w:tcW w:w="2912"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技术中心对系统进行完售后正式上线</w:t>
            </w:r>
          </w:p>
        </w:tc>
        <w:tc>
          <w:tcPr>
            <w:tcW w:w="2059" w:type="dxa"/>
            <w:vAlign w:val="center"/>
          </w:tcPr>
          <w:p>
            <w:pPr>
              <w:pStyle w:val="a1"/>
              <w:widowControl w:val="0"/>
              <w:ind w:left="0" w:right="0" w:firstLine="0" w:leftChars="0" w:rightChars="0" w:firstLineChars="0"/>
              <w:jc w:val="center"/>
              <w:rPr>
                <w:rFonts w:hint="eastAsia"/>
                <w:vertAlign w:val="baseline"/>
                <w:lang w:val="en-US" w:eastAsia="zh-CN"/>
              </w:rPr>
            </w:pPr>
            <w:r>
              <w:rPr>
                <w:rFonts w:hint="eastAsia"/>
                <w:vertAlign w:val="baseline"/>
                <w:lang w:val="en-US" w:eastAsia="zh-CN"/>
              </w:rPr>
              <w:t>已完成</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13962"/>
      <w:r>
        <w:rPr>
          <w:rFonts w:hint="eastAsia"/>
          <w:lang w:val="en-US" w:eastAsia="zh-CN"/>
        </w:rPr>
        <w:t>运维手册研发</w:t>
      </w:r>
      <w:bookmarkEnd w:id="27"/>
    </w:p>
    <w:p>
      <w:pPr>
        <w:pStyle w:val="a1"/>
        <w:ind w:left="0" w:right="0" w:firstLine="0" w:leftChars="0" w:rightChars="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运维手册研发表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24"/>
        <w:gridCol w:w="3266"/>
        <w:gridCol w:w="1665"/>
        <w:gridCol w:w="166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924" w:type="dxa"/>
          </w:tcPr>
          <w:p>
            <w:pPr>
              <w:pStyle w:val="a1"/>
              <w:widowControl w:val="0"/>
              <w:rPr>
                <w:rFonts w:hint="default"/>
                <w:vertAlign w:val="baseline"/>
                <w:lang w:val="en-US" w:eastAsia="zh-CN"/>
              </w:rPr>
            </w:pPr>
            <w:r>
              <w:rPr>
                <w:rFonts w:hint="eastAsia"/>
                <w:vertAlign w:val="baseline"/>
                <w:lang w:val="en-US" w:eastAsia="zh-CN"/>
              </w:rPr>
              <w:t>编号</w:t>
            </w:r>
          </w:p>
        </w:tc>
        <w:tc>
          <w:tcPr>
            <w:tcW w:w="3266" w:type="dxa"/>
          </w:tcPr>
          <w:p>
            <w:pPr>
              <w:pStyle w:val="a1"/>
              <w:widowControl w:val="0"/>
              <w:rPr>
                <w:rFonts w:hint="default"/>
                <w:vertAlign w:val="baseline"/>
                <w:lang w:val="en-US" w:eastAsia="zh-CN"/>
              </w:rPr>
            </w:pPr>
            <w:r>
              <w:rPr>
                <w:rFonts w:hint="eastAsia"/>
                <w:vertAlign w:val="baseline"/>
                <w:lang w:val="en-US" w:eastAsia="zh-CN"/>
              </w:rPr>
              <w:t>手册名称</w:t>
            </w:r>
          </w:p>
        </w:tc>
        <w:tc>
          <w:tcPr>
            <w:tcW w:w="1665" w:type="dxa"/>
          </w:tcPr>
          <w:p>
            <w:pPr>
              <w:pStyle w:val="a1"/>
              <w:widowControl w:val="0"/>
              <w:rPr>
                <w:rFonts w:hint="default"/>
                <w:vertAlign w:val="baseline"/>
                <w:lang w:val="en-US" w:eastAsia="zh-CN"/>
              </w:rPr>
            </w:pPr>
            <w:r>
              <w:rPr>
                <w:rFonts w:hint="eastAsia"/>
                <w:vertAlign w:val="baseline"/>
                <w:lang w:val="en-US" w:eastAsia="zh-CN"/>
              </w:rPr>
              <w:t>计划时间</w:t>
            </w:r>
          </w:p>
        </w:tc>
        <w:tc>
          <w:tcPr>
            <w:tcW w:w="1665" w:type="dxa"/>
            <w:shd w:val="clear" w:color="auto" w:fill="auto"/>
          </w:tcPr>
          <w:p>
            <w:pPr>
              <w:pStyle w:val="a1"/>
              <w:widowControl w:val="0"/>
              <w:ind w:left="0" w:right="0" w:firstLine="0" w:leftChars="0" w:rightChars="0" w:firstLineChars="0"/>
              <w:jc w:val="center"/>
              <w:rPr>
                <w:rFonts w:ascii="Arial" w:eastAsia="宋体" w:hAnsi="Arial" w:cs="Arial" w:hint="eastAsia"/>
                <w:b/>
                <w:bCs/>
                <w:snapToGrid w:val="0"/>
                <w:color w:val="000000"/>
                <w:kern w:val="0"/>
                <w:sz w:val="24"/>
                <w:szCs w:val="21"/>
                <w:vertAlign w:val="baseline"/>
                <w:lang w:val="en-US" w:eastAsia="zh-CN" w:bidi="ar-SA"/>
              </w:rPr>
            </w:pPr>
            <w:r>
              <w:rPr>
                <w:rFonts w:hint="eastAsia"/>
                <w:b/>
                <w:bCs/>
                <w:vertAlign w:val="baseline"/>
                <w:lang w:val="en-US" w:eastAsia="zh-CN"/>
              </w:rPr>
              <w:t>完成情况</w:t>
            </w:r>
          </w:p>
        </w:tc>
      </w:tr>
      <w:tr>
        <w:tblPrEx>
          <w:tblW w:w="0" w:type="auto"/>
          <w:tblInd w:w="0" w:type="dxa"/>
          <w:tblCellMar>
            <w:top w:w="0" w:type="dxa"/>
            <w:left w:w="108" w:type="dxa"/>
            <w:bottom w:w="0" w:type="dxa"/>
            <w:right w:w="108" w:type="dxa"/>
          </w:tblCellMar>
        </w:tblPrEx>
        <w:tc>
          <w:tcPr>
            <w:tcW w:w="1924" w:type="dxa"/>
          </w:tcPr>
          <w:p>
            <w:pPr>
              <w:pStyle w:val="a1"/>
              <w:widowControl w:val="0"/>
              <w:numPr>
                <w:ilvl w:val="0"/>
                <w:numId w:val="2"/>
              </w:numPr>
              <w:ind w:left="0" w:right="0" w:firstLine="0" w:leftChars="0" w:rightChars="0" w:firstLineChars="0"/>
              <w:jc w:val="center"/>
              <w:rPr>
                <w:rFonts w:hint="default"/>
                <w:vertAlign w:val="baseline"/>
                <w:lang w:val="en-US" w:eastAsia="zh-CN"/>
              </w:rPr>
            </w:pPr>
          </w:p>
        </w:tc>
        <w:tc>
          <w:tcPr>
            <w:tcW w:w="3266" w:type="dxa"/>
          </w:tcPr>
          <w:p>
            <w:pPr>
              <w:pStyle w:val="a1"/>
              <w:widowControl w:val="0"/>
              <w:ind w:left="0" w:firstLine="0" w:leftChars="0" w:firstLineChars="0"/>
              <w:rPr>
                <w:rFonts w:hint="default"/>
                <w:vertAlign w:val="baseline"/>
                <w:lang w:val="en-US" w:eastAsia="zh-CN"/>
              </w:rPr>
            </w:pPr>
            <w:r>
              <w:rPr>
                <w:rFonts w:hint="eastAsia"/>
                <w:vertAlign w:val="baseline"/>
                <w:lang w:val="en-US" w:eastAsia="zh-CN"/>
              </w:rPr>
              <w:t>Docker安装nginx</w:t>
            </w:r>
          </w:p>
        </w:tc>
        <w:tc>
          <w:tcPr>
            <w:tcW w:w="1665" w:type="dxa"/>
          </w:tcPr>
          <w:p>
            <w:pPr>
              <w:pStyle w:val="a1"/>
              <w:widowControl w:val="0"/>
              <w:rPr>
                <w:rFonts w:hint="default"/>
                <w:vertAlign w:val="baseline"/>
                <w:lang w:val="en-US" w:eastAsia="zh-CN"/>
              </w:rPr>
            </w:pPr>
            <w:r>
              <w:rPr>
                <w:rFonts w:hint="eastAsia"/>
                <w:vertAlign w:val="baseline"/>
                <w:lang w:val="en-US" w:eastAsia="zh-CN"/>
              </w:rPr>
              <w:t>2025.6</w:t>
            </w:r>
          </w:p>
        </w:tc>
        <w:tc>
          <w:tcPr>
            <w:tcW w:w="1665" w:type="dxa"/>
            <w:shd w:val="clear" w:color="auto" w:fill="auto"/>
            <w:vAlign w:val="center"/>
          </w:tcPr>
          <w:p>
            <w:pPr>
              <w:pStyle w:val="a1"/>
              <w:widowControl w:val="0"/>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已完成</w:t>
            </w:r>
          </w:p>
        </w:tc>
      </w:tr>
      <w:tr>
        <w:tblPrEx>
          <w:tblW w:w="0" w:type="auto"/>
          <w:tblInd w:w="0" w:type="dxa"/>
          <w:tblCellMar>
            <w:top w:w="0" w:type="dxa"/>
            <w:left w:w="108" w:type="dxa"/>
            <w:bottom w:w="0" w:type="dxa"/>
            <w:right w:w="108" w:type="dxa"/>
          </w:tblCellMar>
        </w:tblPrEx>
        <w:tc>
          <w:tcPr>
            <w:tcW w:w="1924" w:type="dxa"/>
          </w:tcPr>
          <w:p>
            <w:pPr>
              <w:pStyle w:val="a1"/>
              <w:widowControl w:val="0"/>
              <w:numPr>
                <w:ilvl w:val="0"/>
                <w:numId w:val="2"/>
              </w:numPr>
              <w:ind w:left="0" w:right="0" w:firstLine="0" w:leftChars="0" w:rightChars="0" w:firstLineChars="0"/>
              <w:jc w:val="center"/>
              <w:rPr>
                <w:rFonts w:hint="default"/>
                <w:vertAlign w:val="baseline"/>
                <w:lang w:val="en-US" w:eastAsia="zh-CN"/>
              </w:rPr>
            </w:pPr>
          </w:p>
        </w:tc>
        <w:tc>
          <w:tcPr>
            <w:tcW w:w="3266" w:type="dxa"/>
          </w:tcPr>
          <w:p>
            <w:pPr>
              <w:pStyle w:val="a1"/>
              <w:widowControl w:val="0"/>
              <w:ind w:left="0" w:firstLine="0" w:leftChars="0" w:firstLineChars="0"/>
              <w:rPr>
                <w:rFonts w:hint="default"/>
                <w:vertAlign w:val="baseline"/>
                <w:lang w:val="en-US" w:eastAsia="zh-CN"/>
              </w:rPr>
            </w:pPr>
            <w:r>
              <w:rPr>
                <w:rFonts w:hint="default"/>
                <w:vertAlign w:val="baseline"/>
                <w:lang w:val="en-US" w:eastAsia="zh-CN"/>
              </w:rPr>
              <w:t>Jenkins构建java项目（分布式）</w:t>
            </w:r>
          </w:p>
        </w:tc>
        <w:tc>
          <w:tcPr>
            <w:tcW w:w="1665" w:type="dxa"/>
          </w:tcPr>
          <w:p>
            <w:pPr>
              <w:pStyle w:val="a1"/>
              <w:widowControl w:val="0"/>
              <w:rPr>
                <w:rFonts w:hint="default"/>
                <w:vertAlign w:val="baseline"/>
                <w:lang w:val="en-US" w:eastAsia="zh-CN"/>
              </w:rPr>
            </w:pPr>
            <w:r>
              <w:rPr>
                <w:rFonts w:hint="eastAsia"/>
                <w:vertAlign w:val="baseline"/>
                <w:lang w:val="en-US" w:eastAsia="zh-CN"/>
              </w:rPr>
              <w:t>2025.7</w:t>
            </w:r>
          </w:p>
        </w:tc>
        <w:tc>
          <w:tcPr>
            <w:tcW w:w="1665" w:type="dxa"/>
            <w:shd w:val="clear" w:color="auto" w:fill="auto"/>
            <w:vAlign w:val="center"/>
          </w:tcPr>
          <w:p>
            <w:pPr>
              <w:pStyle w:val="a1"/>
              <w:widowControl w:val="0"/>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已完成</w:t>
            </w:r>
          </w:p>
        </w:tc>
      </w:tr>
      <w:tr>
        <w:tblPrEx>
          <w:tblW w:w="0" w:type="auto"/>
          <w:tblInd w:w="0" w:type="dxa"/>
          <w:tblCellMar>
            <w:top w:w="0" w:type="dxa"/>
            <w:left w:w="108" w:type="dxa"/>
            <w:bottom w:w="0" w:type="dxa"/>
            <w:right w:w="108" w:type="dxa"/>
          </w:tblCellMar>
        </w:tblPrEx>
        <w:tc>
          <w:tcPr>
            <w:tcW w:w="1924" w:type="dxa"/>
          </w:tcPr>
          <w:p>
            <w:pPr>
              <w:pStyle w:val="a1"/>
              <w:widowControl w:val="0"/>
              <w:numPr>
                <w:ilvl w:val="0"/>
                <w:numId w:val="2"/>
              </w:numPr>
              <w:ind w:left="0" w:right="0" w:firstLine="0" w:leftChars="0" w:rightChars="0" w:firstLineChars="0"/>
              <w:jc w:val="center"/>
              <w:rPr>
                <w:rFonts w:hint="default"/>
                <w:vertAlign w:val="baseline"/>
                <w:lang w:val="en-US" w:eastAsia="zh-CN"/>
              </w:rPr>
            </w:pPr>
          </w:p>
        </w:tc>
        <w:tc>
          <w:tcPr>
            <w:tcW w:w="3266" w:type="dxa"/>
          </w:tcPr>
          <w:p>
            <w:pPr>
              <w:pStyle w:val="a1"/>
              <w:widowControl w:val="0"/>
              <w:ind w:left="0" w:firstLine="0" w:leftChars="0" w:firstLineChars="0"/>
              <w:rPr>
                <w:rFonts w:hint="default"/>
                <w:vertAlign w:val="baseline"/>
                <w:lang w:val="en-US" w:eastAsia="zh-CN"/>
              </w:rPr>
            </w:pPr>
            <w:r>
              <w:rPr>
                <w:rFonts w:hint="default"/>
                <w:vertAlign w:val="baseline"/>
                <w:lang w:val="en-US" w:eastAsia="zh-CN"/>
              </w:rPr>
              <w:t>Jenkins构建前端项目（分布式）</w:t>
            </w:r>
          </w:p>
        </w:tc>
        <w:tc>
          <w:tcPr>
            <w:tcW w:w="1665" w:type="dxa"/>
          </w:tcPr>
          <w:p>
            <w:pPr>
              <w:pStyle w:val="a1"/>
              <w:widowControl w:val="0"/>
              <w:rPr>
                <w:rFonts w:hint="default"/>
                <w:vertAlign w:val="baseline"/>
                <w:lang w:val="en-US" w:eastAsia="zh-CN"/>
              </w:rPr>
            </w:pPr>
            <w:r>
              <w:rPr>
                <w:rFonts w:hint="eastAsia"/>
                <w:vertAlign w:val="baseline"/>
                <w:lang w:val="en-US" w:eastAsia="zh-CN"/>
              </w:rPr>
              <w:t>2025.8</w:t>
            </w:r>
          </w:p>
        </w:tc>
        <w:tc>
          <w:tcPr>
            <w:tcW w:w="1665" w:type="dxa"/>
            <w:shd w:val="clear" w:color="auto" w:fill="auto"/>
            <w:vAlign w:val="center"/>
          </w:tcPr>
          <w:p>
            <w:pPr>
              <w:pStyle w:val="a1"/>
              <w:widowControl w:val="0"/>
              <w:ind w:left="0" w:right="0" w:firstLine="0" w:leftChars="0" w:rightChars="0" w:firstLineChars="0"/>
              <w:jc w:val="center"/>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已完成</w:t>
            </w:r>
          </w:p>
        </w:tc>
      </w:tr>
    </w:tbl>
    <w:p>
      <w:pPr>
        <w:pStyle w:val="a1"/>
        <w:bidi w:val="0"/>
        <w:rPr>
          <w:rFonts w:hint="eastAsia"/>
          <w:lang w:val="en-US" w:eastAsia="zh-CN"/>
        </w:rPr>
      </w:pPr>
      <w:r>
        <w:rPr>
          <w:rFonts w:hint="eastAsia"/>
          <w:lang w:val="en-US" w:eastAsia="zh-CN"/>
        </w:rPr>
        <w:t>研发手册如图所示：</w:t>
      </w:r>
    </w:p>
    <w:p>
      <w:pPr>
        <w:pStyle w:val="a1"/>
        <w:ind w:left="0" w:right="0" w:firstLine="0" w:leftChars="0" w:rightChars="0" w:firstLineChars="0"/>
        <w:jc w:val="center"/>
        <w:rPr>
          <w:rFonts w:hint="eastAsia"/>
          <w:lang w:val="en-US" w:eastAsia="zh-CN"/>
        </w:rPr>
      </w:pPr>
      <w:r>
        <w:rPr>
          <w:rFonts w:hint="eastAsia"/>
          <w:lang w:val="en-US" w:eastAsia="zh-CN"/>
        </w:rPr>
        <w:t>图</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运维手册</w:t>
      </w:r>
    </w:p>
    <w:p>
      <w:pPr>
        <w:pStyle w:val="a1"/>
        <w:bidi w:val="0"/>
        <w:ind w:left="0" w:right="0" w:firstLine="0" w:leftChars="0" w:rightChars="0" w:firstLineChars="0"/>
        <w:jc w:val="center"/>
        <w:rPr>
          <w:rFonts w:hint="default"/>
          <w:lang w:val="en-US" w:eastAsia="zh-CN"/>
        </w:rPr>
      </w:pPr>
      <w:r>
        <w:drawing>
          <wp:inline distT="0" distB="0" distL="114300" distR="114300">
            <wp:extent cx="5268595" cy="1306830"/>
            <wp:effectExtent l="0" t="0" r="444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6"/>
                    <a:stretch>
                      <a:fillRect/>
                    </a:stretch>
                  </pic:blipFill>
                  <pic:spPr>
                    <a:xfrm>
                      <a:off x="0" y="0"/>
                      <a:ext cx="5268595" cy="1306830"/>
                    </a:xfrm>
                    <a:prstGeom prst="rect">
                      <a:avLst/>
                    </a:prstGeom>
                    <a:noFill/>
                    <a:ln>
                      <a:noFill/>
                    </a:ln>
                  </pic:spPr>
                </pic:pic>
              </a:graphicData>
            </a:graphic>
          </wp:inline>
        </w:drawing>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26460"/>
      <w:r>
        <w:rPr>
          <w:rFonts w:hint="eastAsia"/>
          <w:lang w:val="en-US" w:eastAsia="zh-CN"/>
        </w:rPr>
        <w:t>研发团队构成</w:t>
      </w:r>
      <w:bookmarkEnd w:id="28"/>
    </w:p>
    <w:p>
      <w:pPr>
        <w:pStyle w:val="a1"/>
        <w:rPr>
          <w:rFonts w:hint="eastAsia"/>
          <w:lang w:val="en-US" w:eastAsia="zh-CN"/>
        </w:rPr>
      </w:pPr>
      <w:r>
        <w:rPr>
          <w:rFonts w:hint="eastAsia"/>
          <w:lang w:val="en-US" w:eastAsia="zh-CN"/>
        </w:rPr>
        <w:t>结合公司实际情况，为保质保量的完成运维工具研发工作，根据研发计划配置人员如下：技术中心3人，其中技术中心经理1名，开发工程师1名，需求分析师1名，质量部经理1名，运维项目经理1名，各岗及时到位，为研发工作的有序开展提供了有力保障。运维工具研发团队人员配置信息如表1-6所示</w:t>
      </w:r>
    </w:p>
    <w:p>
      <w:pPr>
        <w:pStyle w:val="a1"/>
        <w:ind w:left="0" w:right="0" w:firstLine="0" w:leftChars="0" w:rightChars="0" w:firstLineChars="0"/>
        <w:jc w:val="center"/>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人员配置表</w:t>
      </w:r>
    </w:p>
    <w:tbl>
      <w:tblPr>
        <w:tblStyle w:val="TableGrid"/>
        <w:tblW w:w="892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21"/>
        <w:gridCol w:w="1626"/>
        <w:gridCol w:w="5376"/>
      </w:tblGrid>
      <w:tr>
        <w:tblPrEx>
          <w:tblW w:w="892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921" w:type="dxa"/>
          </w:tcPr>
          <w:p>
            <w:pPr>
              <w:pStyle w:val="a1"/>
              <w:widowControl w:val="0"/>
              <w:ind w:left="0" w:right="0" w:firstLine="0" w:leftChars="0" w:rightChars="0" w:firstLineChars="0"/>
              <w:jc w:val="center"/>
              <w:rPr>
                <w:rFonts w:hint="default"/>
                <w:b/>
                <w:bCs/>
                <w:vertAlign w:val="baseline"/>
                <w:lang w:val="en-US" w:eastAsia="zh-CN"/>
              </w:rPr>
            </w:pPr>
            <w:r>
              <w:rPr>
                <w:rFonts w:hint="eastAsia"/>
                <w:b/>
                <w:bCs/>
                <w:vertAlign w:val="baseline"/>
                <w:lang w:val="en-US" w:eastAsia="zh-CN"/>
              </w:rPr>
              <w:t>职位名称</w:t>
            </w:r>
          </w:p>
        </w:tc>
        <w:tc>
          <w:tcPr>
            <w:tcW w:w="1626" w:type="dxa"/>
          </w:tcPr>
          <w:p>
            <w:pPr>
              <w:pStyle w:val="a1"/>
              <w:widowControl w:val="0"/>
              <w:ind w:left="0" w:right="0" w:firstLine="0" w:leftChars="0" w:rightChars="0" w:firstLineChars="0"/>
              <w:jc w:val="center"/>
              <w:rPr>
                <w:rFonts w:hint="default"/>
                <w:b/>
                <w:bCs/>
                <w:vertAlign w:val="baseline"/>
                <w:lang w:val="en-US" w:eastAsia="zh-CN"/>
              </w:rPr>
            </w:pPr>
            <w:r>
              <w:rPr>
                <w:rFonts w:hint="eastAsia"/>
                <w:b/>
                <w:bCs/>
                <w:vertAlign w:val="baseline"/>
                <w:lang w:val="en-US" w:eastAsia="zh-CN"/>
              </w:rPr>
              <w:t>所属部门</w:t>
            </w:r>
          </w:p>
        </w:tc>
        <w:tc>
          <w:tcPr>
            <w:tcW w:w="5376" w:type="dxa"/>
          </w:tcPr>
          <w:p>
            <w:pPr>
              <w:pStyle w:val="a1"/>
              <w:widowControl w:val="0"/>
              <w:ind w:right="0" w:rightChars="0"/>
              <w:jc w:val="center"/>
              <w:rPr>
                <w:rFonts w:hint="default"/>
                <w:b/>
                <w:bCs/>
                <w:vertAlign w:val="baseline"/>
                <w:lang w:val="en-US" w:eastAsia="zh-CN"/>
              </w:rPr>
            </w:pPr>
            <w:r>
              <w:rPr>
                <w:rFonts w:hint="eastAsia"/>
                <w:b/>
                <w:bCs/>
                <w:vertAlign w:val="baseline"/>
                <w:lang w:val="en-US" w:eastAsia="zh-CN"/>
              </w:rPr>
              <w:t>职责描述</w:t>
            </w:r>
          </w:p>
        </w:tc>
      </w:tr>
      <w:tr>
        <w:tblPrEx>
          <w:tblW w:w="8923" w:type="dxa"/>
          <w:tblInd w:w="0" w:type="dxa"/>
          <w:tblCellMar>
            <w:top w:w="0" w:type="dxa"/>
            <w:left w:w="108" w:type="dxa"/>
            <w:bottom w:w="0" w:type="dxa"/>
            <w:right w:w="108" w:type="dxa"/>
          </w:tblCellMar>
        </w:tblPrEx>
        <w:tc>
          <w:tcPr>
            <w:tcW w:w="1921"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技术中心经理</w:t>
            </w:r>
          </w:p>
        </w:tc>
        <w:tc>
          <w:tcPr>
            <w:tcW w:w="1626"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技术中心</w:t>
            </w:r>
          </w:p>
        </w:tc>
        <w:tc>
          <w:tcPr>
            <w:tcW w:w="5376"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总体规划研发进度</w:t>
            </w:r>
          </w:p>
        </w:tc>
      </w:tr>
      <w:tr>
        <w:tblPrEx>
          <w:tblW w:w="8923" w:type="dxa"/>
          <w:tblInd w:w="0" w:type="dxa"/>
          <w:tblCellMar>
            <w:top w:w="0" w:type="dxa"/>
            <w:left w:w="108" w:type="dxa"/>
            <w:bottom w:w="0" w:type="dxa"/>
            <w:right w:w="108" w:type="dxa"/>
          </w:tblCellMar>
        </w:tblPrEx>
        <w:tc>
          <w:tcPr>
            <w:tcW w:w="1921"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开发工程师</w:t>
            </w:r>
          </w:p>
        </w:tc>
        <w:tc>
          <w:tcPr>
            <w:tcW w:w="1626"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技术中心</w:t>
            </w:r>
          </w:p>
        </w:tc>
        <w:tc>
          <w:tcPr>
            <w:tcW w:w="5376"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编码、单元测试</w:t>
            </w:r>
          </w:p>
        </w:tc>
      </w:tr>
      <w:tr>
        <w:tblPrEx>
          <w:tblW w:w="8923" w:type="dxa"/>
          <w:tblInd w:w="0" w:type="dxa"/>
          <w:tblCellMar>
            <w:top w:w="0" w:type="dxa"/>
            <w:left w:w="108" w:type="dxa"/>
            <w:bottom w:w="0" w:type="dxa"/>
            <w:right w:w="108" w:type="dxa"/>
          </w:tblCellMar>
        </w:tblPrEx>
        <w:tc>
          <w:tcPr>
            <w:tcW w:w="1921"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运维项目经理</w:t>
            </w:r>
          </w:p>
        </w:tc>
        <w:tc>
          <w:tcPr>
            <w:tcW w:w="1626"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运维部</w:t>
            </w:r>
          </w:p>
        </w:tc>
        <w:tc>
          <w:tcPr>
            <w:tcW w:w="5376"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总体规划项目进度</w:t>
            </w:r>
          </w:p>
        </w:tc>
      </w:tr>
      <w:tr>
        <w:tblPrEx>
          <w:tblW w:w="8923" w:type="dxa"/>
          <w:tblInd w:w="0" w:type="dxa"/>
          <w:tblCellMar>
            <w:top w:w="0" w:type="dxa"/>
            <w:left w:w="108" w:type="dxa"/>
            <w:bottom w:w="0" w:type="dxa"/>
            <w:right w:w="108" w:type="dxa"/>
          </w:tblCellMar>
        </w:tblPrEx>
        <w:tc>
          <w:tcPr>
            <w:tcW w:w="1921"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质量部经理</w:t>
            </w:r>
          </w:p>
        </w:tc>
        <w:tc>
          <w:tcPr>
            <w:tcW w:w="1626"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质量部</w:t>
            </w:r>
          </w:p>
        </w:tc>
        <w:tc>
          <w:tcPr>
            <w:tcW w:w="5376"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跟进研发质量</w:t>
            </w:r>
          </w:p>
        </w:tc>
      </w:tr>
      <w:tr>
        <w:tblPrEx>
          <w:tblW w:w="8923" w:type="dxa"/>
          <w:tblInd w:w="0" w:type="dxa"/>
          <w:tblCellMar>
            <w:top w:w="0" w:type="dxa"/>
            <w:left w:w="108" w:type="dxa"/>
            <w:bottom w:w="0" w:type="dxa"/>
            <w:right w:w="108" w:type="dxa"/>
          </w:tblCellMar>
        </w:tblPrEx>
        <w:tc>
          <w:tcPr>
            <w:tcW w:w="1921"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需求分析师</w:t>
            </w:r>
          </w:p>
        </w:tc>
        <w:tc>
          <w:tcPr>
            <w:tcW w:w="1626" w:type="dxa"/>
          </w:tcPr>
          <w:p>
            <w:pPr>
              <w:pStyle w:val="a1"/>
              <w:widowControl w:val="0"/>
              <w:ind w:left="0" w:right="0" w:firstLine="0" w:leftChars="0" w:rightChars="0" w:firstLineChars="0"/>
              <w:jc w:val="center"/>
              <w:rPr>
                <w:rFonts w:hint="default"/>
                <w:vertAlign w:val="baseline"/>
                <w:lang w:val="en-US" w:eastAsia="zh-CN"/>
              </w:rPr>
            </w:pPr>
            <w:r>
              <w:rPr>
                <w:rFonts w:hint="eastAsia"/>
                <w:vertAlign w:val="baseline"/>
                <w:lang w:val="en-US" w:eastAsia="zh-CN"/>
              </w:rPr>
              <w:t>技术中心</w:t>
            </w:r>
          </w:p>
        </w:tc>
        <w:tc>
          <w:tcPr>
            <w:tcW w:w="5376" w:type="dxa"/>
          </w:tcPr>
          <w:p>
            <w:pPr>
              <w:pStyle w:val="a1"/>
              <w:widowControl w:val="0"/>
              <w:ind w:left="0" w:right="0" w:firstLine="0" w:leftChars="0" w:rightChars="0" w:firstLineChars="0"/>
              <w:jc w:val="both"/>
              <w:rPr>
                <w:rFonts w:hint="default"/>
                <w:vertAlign w:val="baseline"/>
                <w:lang w:val="en-US" w:eastAsia="zh-CN"/>
              </w:rPr>
            </w:pPr>
            <w:r>
              <w:rPr>
                <w:rFonts w:hint="eastAsia"/>
                <w:vertAlign w:val="baseline"/>
                <w:lang w:val="en-US" w:eastAsia="zh-CN"/>
              </w:rPr>
              <w:t>收集、分析各运维部门需求，并生成需求报告</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6865"/>
      <w:r>
        <w:rPr>
          <w:rFonts w:hint="eastAsia"/>
          <w:lang w:val="en-US" w:eastAsia="zh-CN"/>
        </w:rPr>
        <w:t>运维经费投入</w:t>
      </w:r>
      <w:bookmarkEnd w:id="29"/>
    </w:p>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研发经费使用表</w:t>
      </w:r>
    </w:p>
    <w:tbl>
      <w:tblPr>
        <w:tblStyle w:val="TableGrid"/>
        <w:tblW w:w="0" w:type="auto"/>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77"/>
        <w:gridCol w:w="3575"/>
        <w:gridCol w:w="2841"/>
      </w:tblGrid>
      <w:tr>
        <w:tblPrEx>
          <w:tblW w:w="0" w:type="auto"/>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277"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编号</w:t>
            </w: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开支项目</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金额（万元）</w:t>
            </w:r>
          </w:p>
        </w:tc>
      </w:tr>
      <w:tr>
        <w:tblPrEx>
          <w:tblW w:w="0" w:type="auto"/>
          <w:tblInd w:w="-171" w:type="dxa"/>
          <w:tblCellMar>
            <w:top w:w="0" w:type="dxa"/>
            <w:left w:w="108" w:type="dxa"/>
            <w:bottom w:w="0" w:type="dxa"/>
            <w:right w:w="108" w:type="dxa"/>
          </w:tblCellMar>
        </w:tblPrEx>
        <w:tc>
          <w:tcPr>
            <w:tcW w:w="2277" w:type="dxa"/>
          </w:tcPr>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eastAsia"/>
                <w:vertAlign w:val="baseline"/>
                <w:lang w:val="en-US" w:eastAsia="zh-CN"/>
              </w:rPr>
              <w:t>人力资源成本</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tblPrEx>
          <w:tblW w:w="0" w:type="auto"/>
          <w:tblInd w:w="-171" w:type="dxa"/>
          <w:tblCellMar>
            <w:top w:w="0" w:type="dxa"/>
            <w:left w:w="108" w:type="dxa"/>
            <w:bottom w:w="0" w:type="dxa"/>
            <w:right w:w="108" w:type="dxa"/>
          </w:tblCellMar>
        </w:tblPrEx>
        <w:tc>
          <w:tcPr>
            <w:tcW w:w="2277" w:type="dxa"/>
          </w:tcPr>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eastAsia"/>
                <w:vertAlign w:val="baseline"/>
                <w:lang w:val="en-US" w:eastAsia="zh-CN"/>
              </w:rPr>
              <w:t>测试与授权费用</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0.5</w:t>
            </w:r>
          </w:p>
        </w:tc>
      </w:tr>
      <w:tr>
        <w:tblPrEx>
          <w:tblW w:w="0" w:type="auto"/>
          <w:tblInd w:w="-171" w:type="dxa"/>
          <w:tblCellMar>
            <w:top w:w="0" w:type="dxa"/>
            <w:left w:w="108" w:type="dxa"/>
            <w:bottom w:w="0" w:type="dxa"/>
            <w:right w:w="108" w:type="dxa"/>
          </w:tblCellMar>
        </w:tblPrEx>
        <w:tc>
          <w:tcPr>
            <w:tcW w:w="2277" w:type="dxa"/>
          </w:tcPr>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eastAsia"/>
                <w:vertAlign w:val="baseline"/>
                <w:lang w:val="en-US" w:eastAsia="zh-CN"/>
              </w:rPr>
              <w:t>手册研发成本</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1.8</w:t>
            </w:r>
          </w:p>
        </w:tc>
      </w:tr>
      <w:tr>
        <w:tblPrEx>
          <w:tblW w:w="0" w:type="auto"/>
          <w:tblInd w:w="-171" w:type="dxa"/>
          <w:tblCellMar>
            <w:top w:w="0" w:type="dxa"/>
            <w:left w:w="108" w:type="dxa"/>
            <w:bottom w:w="0" w:type="dxa"/>
            <w:right w:w="108" w:type="dxa"/>
          </w:tblCellMar>
        </w:tblPrEx>
        <w:tc>
          <w:tcPr>
            <w:tcW w:w="2277" w:type="dxa"/>
          </w:tcPr>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vertAlign w:val="baseline"/>
                <w:lang w:val="en-US" w:eastAsia="zh-CN"/>
              </w:rPr>
            </w:pPr>
          </w:p>
        </w:tc>
        <w:tc>
          <w:tcPr>
            <w:tcW w:w="3575" w:type="dxa"/>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vertAlign w:val="baseline"/>
                <w:lang w:val="en-US" w:eastAsia="zh-CN"/>
              </w:rPr>
            </w:pPr>
            <w:r>
              <w:rPr>
                <w:rFonts w:hint="eastAsia"/>
                <w:vertAlign w:val="baseline"/>
                <w:lang w:val="en-US" w:eastAsia="zh-CN"/>
              </w:rPr>
              <w:t>总计</w:t>
            </w:r>
          </w:p>
        </w:tc>
        <w:tc>
          <w:tcPr>
            <w:tcW w:w="2841" w:type="dxa"/>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20.3</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3490"/>
      <w:r>
        <w:rPr>
          <w:rFonts w:hint="eastAsia"/>
          <w:lang w:val="en-US" w:eastAsia="zh-CN"/>
        </w:rPr>
        <w:t>新技术研发</w:t>
      </w:r>
      <w:bookmarkEnd w:id="30"/>
    </w:p>
    <w:p>
      <w:pPr>
        <w:pStyle w:val="a1"/>
        <w:rPr>
          <w:rFonts w:hint="default"/>
          <w:lang w:val="en-US" w:eastAsia="zh-CN"/>
        </w:rPr>
      </w:pPr>
      <w:r>
        <w:rPr>
          <w:rFonts w:hint="default"/>
          <w:lang w:val="en-US" w:eastAsia="zh-CN"/>
        </w:rPr>
        <w:t>新技术预研工作已按计划完成第一阶段的核心任务，成功搭建了AIOps原型演示环境，并在智能告警收敛这一关键能力上实现了概念验证，验证了其与现有禅道流程平台集成的技术可行性。</w:t>
      </w:r>
    </w:p>
    <w:p>
      <w:pPr>
        <w:pStyle w:val="a1"/>
        <w:rPr>
          <w:rFonts w:hint="default"/>
          <w:lang w:val="en-US" w:eastAsia="zh-CN"/>
        </w:rPr>
      </w:pPr>
      <w:r>
        <w:rPr>
          <w:rFonts w:hint="default"/>
          <w:lang w:val="en-US" w:eastAsia="zh-CN"/>
        </w:rPr>
        <w:t>智能告警收敛引擎：开发并验证了告警关联分析算法。该引擎能够将监控系统上报的海量、重复的告警事件，根据业务拓扑、时间窗口和故障传播路径进行智能聚合，成功将模拟的告警风暴事件数量压缩了85%以上，精准定位到少数几个根源事件。</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12497"/>
      <w:r>
        <w:rPr>
          <w:rFonts w:hint="eastAsia"/>
          <w:lang w:val="en-US" w:eastAsia="zh-CN"/>
        </w:rPr>
        <w:t>过程管理报告</w:t>
      </w:r>
      <w:bookmarkEnd w:id="31"/>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2" w:name="_Toc10957"/>
      <w:r>
        <w:rPr>
          <w:rFonts w:hint="eastAsia"/>
          <w:lang w:val="en-US" w:eastAsia="zh-CN"/>
        </w:rPr>
        <w:t>过程框架管理报告</w:t>
      </w:r>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过程框架自评估已按计划完成，由运维部组织实施，质量部全程监督。评估覆盖全部运维过程，输出评估报告1份，识别改进项3项，评估结果已作为体系优化输入符合年度目标要求。</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3" w:name="_Toc20211"/>
      <w:r>
        <w:rPr>
          <w:rFonts w:hint="eastAsia"/>
          <w:lang w:val="en-US" w:eastAsia="zh-CN"/>
        </w:rPr>
        <w:t>服务级别管理报告</w:t>
      </w:r>
      <w:bookmarkEnd w:id="33"/>
    </w:p>
    <w:p>
      <w:pPr>
        <w:pStyle w:val="a1"/>
        <w:rPr>
          <w:rFonts w:hint="eastAsia"/>
          <w:lang w:val="en-US" w:eastAsia="zh-CN"/>
        </w:rPr>
      </w:pPr>
      <w:r>
        <w:rPr>
          <w:rFonts w:hint="eastAsia"/>
          <w:lang w:val="en-US" w:eastAsia="zh-CN"/>
        </w:rPr>
        <w:t>依据公司发展制定的服务级别管理制度要求，SLA达成率的计算方式为(满足服务级别的事件数/事件总数)*100%，考核频次为季度考核。SLA达成率目标值为95%，经统计2025年1-3月累计处理事件40件，满足服务级别的事件数为38件，SLA达成率为95%；4-6月累计处理事件32件，满足服务级别要求的事件数为32件，SLA达成率为100%；7-9月累计处理事件40件，满足服务级别要求的事件数为40件，SLA达成率为100%。三季度SLA达成率均满足KPI指标要求。SLA达成率有所上升，在下一阶段的服务过程中应继续保持。</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4" w:name="_Toc13859"/>
      <w:r>
        <w:rPr>
          <w:rFonts w:hint="eastAsia"/>
          <w:lang w:val="en-US" w:eastAsia="zh-CN"/>
        </w:rPr>
        <w:t>服务报告管理计划</w:t>
      </w:r>
      <w:bookmarkEnd w:id="34"/>
    </w:p>
    <w:p>
      <w:pPr>
        <w:pStyle w:val="a1"/>
        <w:bidi w:val="0"/>
        <w:rPr>
          <w:rFonts w:hint="eastAsia"/>
          <w:lang w:val="en-US" w:eastAsia="zh-CN"/>
        </w:rPr>
      </w:pPr>
      <w:r>
        <w:t>2025年第</w:t>
      </w:r>
      <w:r>
        <w:rPr>
          <w:rFonts w:hint="eastAsia"/>
          <w:lang w:val="en-US" w:eastAsia="zh-CN"/>
        </w:rPr>
        <w:t>一</w:t>
      </w:r>
      <w:r>
        <w:t>季度，运维部需编制提交的服务报告总数为</w:t>
      </w:r>
      <w:r>
        <w:rPr>
          <w:rFonts w:hint="eastAsia"/>
          <w:lang w:val="en-US" w:eastAsia="zh-CN"/>
        </w:rPr>
        <w:t>20</w:t>
      </w:r>
      <w:r>
        <w:t>份，其中按时提交的报告为</w:t>
      </w:r>
      <w:r>
        <w:rPr>
          <w:rFonts w:hint="eastAsia"/>
          <w:lang w:val="en-US" w:eastAsia="zh-CN"/>
        </w:rPr>
        <w:t>20</w:t>
      </w:r>
      <w:r>
        <w:t>份，报告提交及时率达到</w:t>
      </w:r>
      <w:r>
        <w:rPr>
          <w:rFonts w:hint="eastAsia"/>
          <w:lang w:val="en-US" w:eastAsia="zh-CN"/>
        </w:rPr>
        <w:t>100</w:t>
      </w:r>
      <w:r>
        <w:t>%；第</w:t>
      </w:r>
      <w:r>
        <w:rPr>
          <w:rFonts w:hint="eastAsia"/>
          <w:lang w:val="en-US" w:eastAsia="zh-CN"/>
        </w:rPr>
        <w:t>二</w:t>
      </w:r>
      <w:r>
        <w:t>季度，随着报告体系的完善，在报告总数增加至</w:t>
      </w:r>
      <w:r>
        <w:rPr>
          <w:rFonts w:hint="eastAsia"/>
          <w:lang w:val="en-US" w:eastAsia="zh-CN"/>
        </w:rPr>
        <w:t>32</w:t>
      </w:r>
      <w:r>
        <w:t>份的情况下，按时提交报告数量为</w:t>
      </w:r>
      <w:r>
        <w:rPr>
          <w:rFonts w:hint="eastAsia"/>
          <w:lang w:val="en-US" w:eastAsia="zh-CN"/>
        </w:rPr>
        <w:t>32</w:t>
      </w:r>
      <w:r>
        <w:t>份，及时率</w:t>
      </w:r>
      <w:r>
        <w:rPr>
          <w:rFonts w:hint="eastAsia"/>
          <w:lang w:val="en-US" w:eastAsia="zh-CN"/>
        </w:rPr>
        <w:t>为100</w:t>
      </w:r>
      <w:r>
        <w:t>%。</w:t>
      </w:r>
      <w:r>
        <w:rPr>
          <w:rFonts w:hint="eastAsia"/>
          <w:lang w:val="en-US" w:eastAsia="zh-CN"/>
        </w:rPr>
        <w:t>第三季度，运维部编制提交的报告总数增加至35份，按时提交报告数量35份，报告提交及时率达到100%。三</w:t>
      </w:r>
      <w:r>
        <w:t>个季度的服务报告提交及时率均显著超过95%的考核目标，这得益于运维部优化了报告模板并建立了提交预警机制，质量部通过季度审核确保了报告质量的持续提升，相关改进措施已固化为标准流程。</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5" w:name="_Toc10201"/>
      <w:r>
        <w:rPr>
          <w:rFonts w:hint="eastAsia"/>
          <w:lang w:val="en-US" w:eastAsia="zh-CN"/>
        </w:rPr>
        <w:t>事件管理报告</w:t>
      </w:r>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2025年1月至9月期间，事件管理各项指标持续保持良好水平。</w:t>
      </w:r>
    </w:p>
    <w:p>
      <w:pPr>
        <w:pStyle w:val="a3"/>
        <w:bidi w:val="0"/>
        <w:rPr>
          <w:rFonts w:hint="eastAsia"/>
          <w:lang w:val="en-US" w:eastAsia="zh-CN"/>
        </w:rPr>
      </w:pPr>
      <w:r>
        <w:rPr>
          <w:rFonts w:hint="eastAsia"/>
          <w:lang w:val="en-US" w:eastAsia="zh-CN"/>
        </w:rPr>
        <w:t>1月份处理事件10起，及时响应10起，及时率100%；按时解决9起，解决率90%。</w:t>
      </w:r>
    </w:p>
    <w:p>
      <w:pPr>
        <w:pStyle w:val="a3"/>
        <w:bidi w:val="0"/>
        <w:rPr>
          <w:rFonts w:hint="eastAsia"/>
          <w:lang w:val="en-US" w:eastAsia="zh-CN"/>
        </w:rPr>
      </w:pPr>
      <w:r>
        <w:rPr>
          <w:rFonts w:hint="eastAsia"/>
          <w:lang w:val="en-US" w:eastAsia="zh-CN"/>
        </w:rPr>
        <w:t>2月份处理事件15起，及时响应15起，及时率100%；按时解决15起，解决率100%。3月份处理事件15起，及时响应15起，及时率100%；按时解决15起，解决率100%。4月份事件量为10起，及时响应10起，及时率100%；按时解决10起，解决率100%。5月份处理事件12起，及时响应12起，及时率100%；按时解决11起，解决率91.7%。6月份事件量为10起，及时响应10起，及时率100%；按时解决10起，解决率100%。</w:t>
      </w:r>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eastAsia"/>
          <w:lang w:val="en-US" w:eastAsia="zh-CN"/>
        </w:rPr>
      </w:pPr>
      <w:r>
        <w:rPr>
          <w:rFonts w:hint="eastAsia"/>
          <w:lang w:val="en-US" w:eastAsia="zh-CN"/>
        </w:rPr>
        <w:t>7月份事件量为15起，及时响应15起，及时率100%；按时解决14起，解决率93.3%。</w:t>
      </w:r>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eastAsia"/>
          <w:lang w:val="en-US" w:eastAsia="zh-CN"/>
        </w:rPr>
      </w:pPr>
      <w:r>
        <w:rPr>
          <w:rFonts w:hint="eastAsia"/>
          <w:lang w:val="en-US" w:eastAsia="zh-CN"/>
        </w:rPr>
        <w:t>8月份事件量为15起，及时响应15起，及时率100%；按时解决14起，解决率93.3%。</w:t>
      </w:r>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eastAsia"/>
          <w:lang w:val="en-US" w:eastAsia="zh-CN"/>
        </w:rPr>
      </w:pPr>
      <w:r>
        <w:rPr>
          <w:rFonts w:hint="eastAsia"/>
          <w:lang w:val="en-US" w:eastAsia="zh-CN"/>
        </w:rPr>
        <w:t>9月份事件量为10起，及时响应10起，及时率100%；按时解决10起，解决率100%。</w:t>
      </w:r>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eastAsia"/>
          <w:lang w:val="en-US" w:eastAsia="zh-CN"/>
        </w:rPr>
      </w:pPr>
      <w:r>
        <w:rPr>
          <w:rFonts w:hint="eastAsia"/>
          <w:lang w:val="en-US" w:eastAsia="zh-CN"/>
        </w:rPr>
        <w:t>10月事件量为8起，及时相应8起，及时率为100%；按时解决8起，解决率100%</w:t>
      </w:r>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lang w:val="en-US" w:eastAsia="zh-CN"/>
        </w:rPr>
      </w:pPr>
      <w:r>
        <w:rPr>
          <w:rFonts w:hint="eastAsia"/>
          <w:lang w:val="en-US" w:eastAsia="zh-CN"/>
        </w:rPr>
        <w:t>11月事件量为12起，及时相应12起，及时率为100%；按时解决12起，解决率100%</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各月指标均达到或超过考核目标，其中响应始终保持在100%，问题解决率满足指标要求。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通过建立事件分级处理机制和加强技术人员培训，事件处理效率得到持续改善。质量部每月定期开展指标分析，确保事件管理流程持续优化。</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6" w:name="_Toc13905"/>
      <w:r>
        <w:rPr>
          <w:rFonts w:hint="eastAsia"/>
          <w:lang w:val="en-US" w:eastAsia="zh-CN"/>
        </w:rPr>
        <w:t>问题管理报告</w:t>
      </w:r>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第</w:t>
      </w:r>
      <w:r>
        <w:rPr>
          <w:rFonts w:ascii="Segoe UI" w:eastAsia="宋体" w:hAnsi="Segoe UI" w:cs="Segoe UI" w:hint="eastAsia"/>
          <w:i w:val="0"/>
          <w:iCs w:val="0"/>
          <w:caps w:val="0"/>
          <w:color w:val="0F1115"/>
          <w:spacing w:val="0"/>
          <w:sz w:val="24"/>
          <w:szCs w:val="24"/>
          <w:shd w:val="clear" w:color="auto" w:fill="FFFFFF"/>
          <w:lang w:eastAsia="zh-CN"/>
        </w:rPr>
        <w:t>一</w:t>
      </w:r>
      <w:r>
        <w:rPr>
          <w:rFonts w:ascii="Segoe UI" w:eastAsia="Segoe UI" w:hAnsi="Segoe UI" w:cs="Segoe UI"/>
          <w:i w:val="0"/>
          <w:iCs w:val="0"/>
          <w:caps w:val="0"/>
          <w:color w:val="0F1115"/>
          <w:spacing w:val="0"/>
          <w:sz w:val="24"/>
          <w:szCs w:val="24"/>
          <w:shd w:val="clear" w:color="auto" w:fill="FFFFFF"/>
        </w:rPr>
        <w:t>季度共识别问题</w:t>
      </w:r>
      <w:r>
        <w:rPr>
          <w:rFonts w:ascii="Segoe UI" w:eastAsia="宋体" w:hAnsi="Segoe UI" w:cs="Segoe UI" w:hint="eastAsia"/>
          <w:i w:val="0"/>
          <w:iCs w:val="0"/>
          <w:caps w:val="0"/>
          <w:color w:val="0F1115"/>
          <w:spacing w:val="0"/>
          <w:sz w:val="24"/>
          <w:szCs w:val="24"/>
          <w:shd w:val="clear" w:color="auto" w:fill="FFFFFF"/>
          <w:lang w:val="en-US" w:eastAsia="zh-CN"/>
        </w:rPr>
        <w:t>10</w:t>
      </w:r>
      <w:r>
        <w:rPr>
          <w:rFonts w:ascii="Segoe UI" w:eastAsia="Segoe UI" w:hAnsi="Segoe UI" w:cs="Segoe UI"/>
          <w:i w:val="0"/>
          <w:iCs w:val="0"/>
          <w:caps w:val="0"/>
          <w:color w:val="0F1115"/>
          <w:spacing w:val="0"/>
          <w:sz w:val="24"/>
          <w:szCs w:val="24"/>
          <w:shd w:val="clear" w:color="auto" w:fill="FFFFFF"/>
        </w:rPr>
        <w:t>个，实际解决</w:t>
      </w:r>
      <w:r>
        <w:rPr>
          <w:rFonts w:ascii="Segoe UI" w:eastAsia="宋体" w:hAnsi="Segoe UI" w:cs="Segoe UI" w:hint="eastAsia"/>
          <w:i w:val="0"/>
          <w:iCs w:val="0"/>
          <w:caps w:val="0"/>
          <w:color w:val="0F1115"/>
          <w:spacing w:val="0"/>
          <w:sz w:val="24"/>
          <w:szCs w:val="24"/>
          <w:shd w:val="clear" w:color="auto" w:fill="FFFFFF"/>
          <w:lang w:val="en-US" w:eastAsia="zh-CN"/>
        </w:rPr>
        <w:t>10</w:t>
      </w:r>
      <w:r>
        <w:rPr>
          <w:rFonts w:ascii="Segoe UI" w:eastAsia="Segoe UI" w:hAnsi="Segoe UI" w:cs="Segoe UI"/>
          <w:i w:val="0"/>
          <w:iCs w:val="0"/>
          <w:caps w:val="0"/>
          <w:color w:val="0F1115"/>
          <w:spacing w:val="0"/>
          <w:sz w:val="24"/>
          <w:szCs w:val="24"/>
          <w:shd w:val="clear" w:color="auto" w:fill="FFFFFF"/>
        </w:rPr>
        <w:t>个，问题解决率达到</w:t>
      </w:r>
      <w:r>
        <w:rPr>
          <w:rFonts w:ascii="Segoe UI" w:eastAsia="宋体" w:hAnsi="Segoe UI" w:cs="Segoe UI" w:hint="eastAsia"/>
          <w:i w:val="0"/>
          <w:iCs w:val="0"/>
          <w:caps w:val="0"/>
          <w:color w:val="0F1115"/>
          <w:spacing w:val="0"/>
          <w:sz w:val="24"/>
          <w:szCs w:val="24"/>
          <w:shd w:val="clear" w:color="auto" w:fill="FFFFFF"/>
          <w:lang w:val="en-US" w:eastAsia="zh-CN"/>
        </w:rPr>
        <w:t>100</w:t>
      </w:r>
      <w:r>
        <w:rPr>
          <w:rFonts w:ascii="Segoe UI" w:eastAsia="Segoe UI" w:hAnsi="Segoe UI" w:cs="Segoe UI"/>
          <w:i w:val="0"/>
          <w:iCs w:val="0"/>
          <w:caps w:val="0"/>
          <w:color w:val="0F1115"/>
          <w:spacing w:val="0"/>
          <w:sz w:val="24"/>
          <w:szCs w:val="24"/>
          <w:shd w:val="clear" w:color="auto" w:fill="FFFFFF"/>
        </w:rPr>
        <w:t>%。第</w:t>
      </w:r>
      <w:r>
        <w:rPr>
          <w:rFonts w:ascii="Segoe UI" w:eastAsia="宋体" w:hAnsi="Segoe UI" w:cs="Segoe UI" w:hint="eastAsia"/>
          <w:i w:val="0"/>
          <w:iCs w:val="0"/>
          <w:caps w:val="0"/>
          <w:color w:val="0F1115"/>
          <w:spacing w:val="0"/>
          <w:sz w:val="24"/>
          <w:szCs w:val="24"/>
          <w:shd w:val="clear" w:color="auto" w:fill="FFFFFF"/>
          <w:lang w:val="en-US" w:eastAsia="zh-CN"/>
        </w:rPr>
        <w:t>二</w:t>
      </w:r>
      <w:r>
        <w:rPr>
          <w:rFonts w:ascii="Segoe UI" w:eastAsia="Segoe UI" w:hAnsi="Segoe UI" w:cs="Segoe UI"/>
          <w:i w:val="0"/>
          <w:iCs w:val="0"/>
          <w:caps w:val="0"/>
          <w:color w:val="0F1115"/>
          <w:spacing w:val="0"/>
          <w:sz w:val="24"/>
          <w:szCs w:val="24"/>
          <w:shd w:val="clear" w:color="auto" w:fill="FFFFFF"/>
        </w:rPr>
        <w:t>季度随着业务系统复杂度提升，问题数量增至</w:t>
      </w:r>
      <w:r>
        <w:rPr>
          <w:rFonts w:ascii="Segoe UI" w:eastAsia="宋体" w:hAnsi="Segoe UI" w:cs="Segoe UI" w:hint="eastAsia"/>
          <w:i w:val="0"/>
          <w:iCs w:val="0"/>
          <w:caps w:val="0"/>
          <w:color w:val="0F1115"/>
          <w:spacing w:val="0"/>
          <w:sz w:val="24"/>
          <w:szCs w:val="24"/>
          <w:shd w:val="clear" w:color="auto" w:fill="FFFFFF"/>
          <w:lang w:val="en-US" w:eastAsia="zh-CN"/>
        </w:rPr>
        <w:t>20</w:t>
      </w:r>
      <w:r>
        <w:rPr>
          <w:rFonts w:ascii="Segoe UI" w:eastAsia="Segoe UI" w:hAnsi="Segoe UI" w:cs="Segoe UI"/>
          <w:i w:val="0"/>
          <w:iCs w:val="0"/>
          <w:caps w:val="0"/>
          <w:color w:val="0F1115"/>
          <w:spacing w:val="0"/>
          <w:sz w:val="24"/>
          <w:szCs w:val="24"/>
          <w:shd w:val="clear" w:color="auto" w:fill="FFFFFF"/>
        </w:rPr>
        <w:t>个，通过优化根本原因分析流程，实现问题解决</w:t>
      </w:r>
      <w:r>
        <w:rPr>
          <w:rFonts w:ascii="Segoe UI" w:eastAsia="宋体" w:hAnsi="Segoe UI" w:cs="Segoe UI" w:hint="eastAsia"/>
          <w:i w:val="0"/>
          <w:iCs w:val="0"/>
          <w:caps w:val="0"/>
          <w:color w:val="0F1115"/>
          <w:spacing w:val="0"/>
          <w:sz w:val="24"/>
          <w:szCs w:val="24"/>
          <w:shd w:val="clear" w:color="auto" w:fill="FFFFFF"/>
          <w:lang w:val="en-US" w:eastAsia="zh-CN"/>
        </w:rPr>
        <w:t>19</w:t>
      </w:r>
      <w:r>
        <w:rPr>
          <w:rFonts w:ascii="Segoe UI" w:eastAsia="Segoe UI" w:hAnsi="Segoe UI" w:cs="Segoe UI"/>
          <w:i w:val="0"/>
          <w:iCs w:val="0"/>
          <w:caps w:val="0"/>
          <w:color w:val="0F1115"/>
          <w:spacing w:val="0"/>
          <w:sz w:val="24"/>
          <w:szCs w:val="24"/>
          <w:shd w:val="clear" w:color="auto" w:fill="FFFFFF"/>
        </w:rPr>
        <w:t>个，解决率进</w:t>
      </w:r>
      <w:r>
        <w:rPr>
          <w:rFonts w:ascii="Segoe UI" w:eastAsia="宋体" w:hAnsi="Segoe UI" w:cs="Segoe UI" w:hint="eastAsia"/>
          <w:i w:val="0"/>
          <w:iCs w:val="0"/>
          <w:caps w:val="0"/>
          <w:color w:val="0F1115"/>
          <w:spacing w:val="0"/>
          <w:sz w:val="24"/>
          <w:szCs w:val="24"/>
          <w:shd w:val="clear" w:color="auto" w:fill="FFFFFF"/>
          <w:lang w:val="en-US" w:eastAsia="zh-CN"/>
        </w:rPr>
        <w:t>有所下降，但是仍达到95%</w:t>
      </w:r>
      <w:r>
        <w:rPr>
          <w:rFonts w:ascii="Segoe UI" w:eastAsia="Segoe UI" w:hAnsi="Segoe UI" w:cs="Segoe UI"/>
          <w:i w:val="0"/>
          <w:iCs w:val="0"/>
          <w:caps w:val="0"/>
          <w:color w:val="0F1115"/>
          <w:spacing w:val="0"/>
          <w:sz w:val="24"/>
          <w:szCs w:val="24"/>
          <w:shd w:val="clear" w:color="auto" w:fill="FFFFFF"/>
        </w:rPr>
        <w:t>。</w:t>
      </w:r>
      <w:r>
        <w:rPr>
          <w:rFonts w:ascii="Segoe UI" w:eastAsia="宋体" w:hAnsi="Segoe UI" w:cs="Segoe UI" w:hint="eastAsia"/>
          <w:i w:val="0"/>
          <w:iCs w:val="0"/>
          <w:caps w:val="0"/>
          <w:color w:val="0F1115"/>
          <w:spacing w:val="0"/>
          <w:sz w:val="24"/>
          <w:szCs w:val="24"/>
          <w:shd w:val="clear" w:color="auto" w:fill="FFFFFF"/>
          <w:lang w:val="en-US" w:eastAsia="zh-CN"/>
        </w:rPr>
        <w:t>随着业务的逐渐稳定，第三季度识别问题</w:t>
      </w:r>
      <w:r>
        <w:rPr>
          <w:rFonts w:ascii="Segoe UI" w:hAnsi="Segoe UI" w:cs="Segoe UI" w:hint="eastAsia"/>
          <w:i w:val="0"/>
          <w:iCs w:val="0"/>
          <w:caps w:val="0"/>
          <w:color w:val="0F1115"/>
          <w:spacing w:val="0"/>
          <w:sz w:val="24"/>
          <w:szCs w:val="24"/>
          <w:shd w:val="clear" w:color="auto" w:fill="FFFFFF"/>
          <w:lang w:val="en-US" w:eastAsia="zh-CN"/>
        </w:rPr>
        <w:t>13</w:t>
      </w:r>
      <w:r>
        <w:rPr>
          <w:rFonts w:ascii="Segoe UI" w:eastAsia="宋体" w:hAnsi="Segoe UI" w:cs="Segoe UI" w:hint="eastAsia"/>
          <w:i w:val="0"/>
          <w:iCs w:val="0"/>
          <w:caps w:val="0"/>
          <w:color w:val="0F1115"/>
          <w:spacing w:val="0"/>
          <w:sz w:val="24"/>
          <w:szCs w:val="24"/>
          <w:shd w:val="clear" w:color="auto" w:fill="FFFFFF"/>
          <w:lang w:val="en-US" w:eastAsia="zh-CN"/>
        </w:rPr>
        <w:t>个，实际解决</w:t>
      </w:r>
      <w:r>
        <w:rPr>
          <w:rFonts w:ascii="Segoe UI" w:hAnsi="Segoe UI" w:cs="Segoe UI" w:hint="eastAsia"/>
          <w:i w:val="0"/>
          <w:iCs w:val="0"/>
          <w:caps w:val="0"/>
          <w:color w:val="0F1115"/>
          <w:spacing w:val="0"/>
          <w:sz w:val="24"/>
          <w:szCs w:val="24"/>
          <w:shd w:val="clear" w:color="auto" w:fill="FFFFFF"/>
          <w:lang w:val="en-US" w:eastAsia="zh-CN"/>
        </w:rPr>
        <w:t>13</w:t>
      </w:r>
      <w:r>
        <w:rPr>
          <w:rFonts w:ascii="Segoe UI" w:eastAsia="宋体" w:hAnsi="Segoe UI" w:cs="Segoe UI" w:hint="eastAsia"/>
          <w:i w:val="0"/>
          <w:iCs w:val="0"/>
          <w:caps w:val="0"/>
          <w:color w:val="0F1115"/>
          <w:spacing w:val="0"/>
          <w:sz w:val="24"/>
          <w:szCs w:val="24"/>
          <w:shd w:val="clear" w:color="auto" w:fill="FFFFFF"/>
          <w:lang w:val="en-US" w:eastAsia="zh-CN"/>
        </w:rPr>
        <w:t>个，解决率提升至100%。三</w:t>
      </w:r>
      <w:r>
        <w:rPr>
          <w:rFonts w:ascii="Segoe UI" w:eastAsia="Segoe UI" w:hAnsi="Segoe UI" w:cs="Segoe UI"/>
          <w:i w:val="0"/>
          <w:iCs w:val="0"/>
          <w:caps w:val="0"/>
          <w:color w:val="0F1115"/>
          <w:spacing w:val="0"/>
          <w:sz w:val="24"/>
          <w:szCs w:val="24"/>
          <w:shd w:val="clear" w:color="auto" w:fill="FFFFFF"/>
        </w:rPr>
        <w:t>个季度的问题解决率均</w:t>
      </w:r>
      <w:r>
        <w:rPr>
          <w:rFonts w:ascii="Segoe UI" w:eastAsia="宋体" w:hAnsi="Segoe UI" w:cs="Segoe UI" w:hint="eastAsia"/>
          <w:i w:val="0"/>
          <w:iCs w:val="0"/>
          <w:caps w:val="0"/>
          <w:color w:val="0F1115"/>
          <w:spacing w:val="0"/>
          <w:sz w:val="24"/>
          <w:szCs w:val="24"/>
          <w:shd w:val="clear" w:color="auto" w:fill="FFFFFF"/>
          <w:lang w:val="en-US" w:eastAsia="zh-CN"/>
        </w:rPr>
        <w:t>满足</w:t>
      </w:r>
      <w:r>
        <w:rPr>
          <w:rFonts w:ascii="Segoe UI" w:eastAsia="Segoe UI" w:hAnsi="Segoe UI" w:cs="Segoe UI"/>
          <w:i w:val="0"/>
          <w:iCs w:val="0"/>
          <w:caps w:val="0"/>
          <w:color w:val="0F1115"/>
          <w:spacing w:val="0"/>
          <w:sz w:val="24"/>
          <w:szCs w:val="24"/>
          <w:shd w:val="clear" w:color="auto" w:fill="FFFFFF"/>
        </w:rPr>
        <w:t>95%的考核目标。</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7" w:name="_Toc5071"/>
      <w:r>
        <w:rPr>
          <w:rFonts w:hint="eastAsia"/>
          <w:lang w:val="en-US" w:eastAsia="zh-CN"/>
        </w:rPr>
        <w:t>变更管理报告</w:t>
      </w:r>
      <w:bookmarkEnd w:id="3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ascii="Segoe UI" w:eastAsia="Segoe UI" w:hAnsi="Segoe UI" w:cs="Segoe UI"/>
          <w:i w:val="0"/>
          <w:iCs w:val="0"/>
          <w:caps w:val="0"/>
          <w:color w:val="0F1115"/>
          <w:spacing w:val="0"/>
          <w:sz w:val="24"/>
          <w:szCs w:val="24"/>
          <w:shd w:val="clear" w:color="auto" w:fill="FFFFFF"/>
        </w:rPr>
        <w:t>2025年第</w:t>
      </w:r>
      <w:r>
        <w:rPr>
          <w:rFonts w:ascii="Segoe UI" w:eastAsia="宋体" w:hAnsi="Segoe UI" w:cs="Segoe UI" w:hint="eastAsia"/>
          <w:i w:val="0"/>
          <w:iCs w:val="0"/>
          <w:caps w:val="0"/>
          <w:color w:val="0F1115"/>
          <w:spacing w:val="0"/>
          <w:sz w:val="24"/>
          <w:szCs w:val="24"/>
          <w:shd w:val="clear" w:color="auto" w:fill="FFFFFF"/>
          <w:lang w:eastAsia="zh-CN"/>
        </w:rPr>
        <w:t>一</w:t>
      </w:r>
      <w:r>
        <w:rPr>
          <w:rFonts w:ascii="Segoe UI" w:eastAsia="Segoe UI" w:hAnsi="Segoe UI" w:cs="Segoe UI"/>
          <w:i w:val="0"/>
          <w:iCs w:val="0"/>
          <w:caps w:val="0"/>
          <w:color w:val="0F1115"/>
          <w:spacing w:val="0"/>
          <w:sz w:val="24"/>
          <w:szCs w:val="24"/>
          <w:shd w:val="clear" w:color="auto" w:fill="FFFFFF"/>
        </w:rPr>
        <w:t>、</w:t>
      </w:r>
      <w:r>
        <w:rPr>
          <w:rFonts w:ascii="Segoe UI" w:eastAsia="宋体" w:hAnsi="Segoe UI" w:cs="Segoe UI" w:hint="eastAsia"/>
          <w:i w:val="0"/>
          <w:iCs w:val="0"/>
          <w:caps w:val="0"/>
          <w:color w:val="0F1115"/>
          <w:spacing w:val="0"/>
          <w:sz w:val="24"/>
          <w:szCs w:val="24"/>
          <w:shd w:val="clear" w:color="auto" w:fill="FFFFFF"/>
          <w:lang w:val="en-US" w:eastAsia="zh-CN"/>
        </w:rPr>
        <w:t>二和三</w:t>
      </w:r>
      <w:r>
        <w:rPr>
          <w:rFonts w:ascii="Segoe UI" w:eastAsia="Segoe UI" w:hAnsi="Segoe UI" w:cs="Segoe UI"/>
          <w:i w:val="0"/>
          <w:iCs w:val="0"/>
          <w:caps w:val="0"/>
          <w:color w:val="0F1115"/>
          <w:spacing w:val="0"/>
          <w:sz w:val="24"/>
          <w:szCs w:val="24"/>
          <w:shd w:val="clear" w:color="auto" w:fill="FFFFFF"/>
        </w:rPr>
        <w:t>季度变更管理指标完成情况如下：第</w:t>
      </w:r>
      <w:r>
        <w:rPr>
          <w:rFonts w:ascii="Segoe UI" w:eastAsia="宋体" w:hAnsi="Segoe UI" w:cs="Segoe UI" w:hint="eastAsia"/>
          <w:i w:val="0"/>
          <w:iCs w:val="0"/>
          <w:caps w:val="0"/>
          <w:color w:val="0F1115"/>
          <w:spacing w:val="0"/>
          <w:sz w:val="24"/>
          <w:szCs w:val="24"/>
          <w:shd w:val="clear" w:color="auto" w:fill="FFFFFF"/>
          <w:lang w:eastAsia="zh-CN"/>
        </w:rPr>
        <w:t>一</w:t>
      </w:r>
      <w:r>
        <w:rPr>
          <w:rFonts w:ascii="Segoe UI" w:eastAsia="Segoe UI" w:hAnsi="Segoe UI" w:cs="Segoe UI"/>
          <w:i w:val="0"/>
          <w:iCs w:val="0"/>
          <w:caps w:val="0"/>
          <w:color w:val="0F1115"/>
          <w:spacing w:val="0"/>
          <w:sz w:val="24"/>
          <w:szCs w:val="24"/>
          <w:shd w:val="clear" w:color="auto" w:fill="FFFFFF"/>
        </w:rPr>
        <w:t>季度共执行变更</w:t>
      </w:r>
      <w:r>
        <w:rPr>
          <w:rFonts w:ascii="Segoe UI" w:eastAsia="宋体" w:hAnsi="Segoe UI" w:cs="Segoe UI" w:hint="eastAsia"/>
          <w:i w:val="0"/>
          <w:iCs w:val="0"/>
          <w:caps w:val="0"/>
          <w:color w:val="0F1115"/>
          <w:spacing w:val="0"/>
          <w:sz w:val="24"/>
          <w:szCs w:val="24"/>
          <w:shd w:val="clear" w:color="auto" w:fill="FFFFFF"/>
          <w:lang w:val="en-US" w:eastAsia="zh-CN"/>
        </w:rPr>
        <w:t>5</w:t>
      </w:r>
      <w:r>
        <w:rPr>
          <w:rFonts w:ascii="Segoe UI" w:eastAsia="Segoe UI" w:hAnsi="Segoe UI" w:cs="Segoe UI"/>
          <w:i w:val="0"/>
          <w:iCs w:val="0"/>
          <w:caps w:val="0"/>
          <w:color w:val="0F1115"/>
          <w:spacing w:val="0"/>
          <w:sz w:val="24"/>
          <w:szCs w:val="24"/>
          <w:shd w:val="clear" w:color="auto" w:fill="FFFFFF"/>
        </w:rPr>
        <w:t>次，其中成功变更</w:t>
      </w:r>
      <w:r>
        <w:rPr>
          <w:rFonts w:ascii="Segoe UI" w:eastAsia="宋体" w:hAnsi="Segoe UI" w:cs="Segoe UI" w:hint="eastAsia"/>
          <w:i w:val="0"/>
          <w:iCs w:val="0"/>
          <w:caps w:val="0"/>
          <w:color w:val="0F1115"/>
          <w:spacing w:val="0"/>
          <w:sz w:val="24"/>
          <w:szCs w:val="24"/>
          <w:shd w:val="clear" w:color="auto" w:fill="FFFFFF"/>
          <w:lang w:val="en-US" w:eastAsia="zh-CN"/>
        </w:rPr>
        <w:t>5</w:t>
      </w:r>
      <w:r>
        <w:rPr>
          <w:rFonts w:ascii="Segoe UI" w:eastAsia="Segoe UI" w:hAnsi="Segoe UI" w:cs="Segoe UI"/>
          <w:i w:val="0"/>
          <w:iCs w:val="0"/>
          <w:caps w:val="0"/>
          <w:color w:val="0F1115"/>
          <w:spacing w:val="0"/>
          <w:sz w:val="24"/>
          <w:szCs w:val="24"/>
          <w:shd w:val="clear" w:color="auto" w:fill="FFFFFF"/>
        </w:rPr>
        <w:t>次，变更成功率达到</w:t>
      </w:r>
      <w:r>
        <w:rPr>
          <w:rFonts w:ascii="Segoe UI" w:eastAsia="宋体" w:hAnsi="Segoe UI" w:cs="Segoe UI" w:hint="eastAsia"/>
          <w:i w:val="0"/>
          <w:iCs w:val="0"/>
          <w:caps w:val="0"/>
          <w:color w:val="0F1115"/>
          <w:spacing w:val="0"/>
          <w:sz w:val="24"/>
          <w:szCs w:val="24"/>
          <w:shd w:val="clear" w:color="auto" w:fill="FFFFFF"/>
          <w:lang w:val="en-US" w:eastAsia="zh-CN"/>
        </w:rPr>
        <w:t>100</w:t>
      </w:r>
      <w:r>
        <w:rPr>
          <w:rFonts w:ascii="Segoe UI" w:eastAsia="Segoe UI" w:hAnsi="Segoe UI" w:cs="Segoe UI"/>
          <w:i w:val="0"/>
          <w:iCs w:val="0"/>
          <w:caps w:val="0"/>
          <w:color w:val="0F1115"/>
          <w:spacing w:val="0"/>
          <w:sz w:val="24"/>
          <w:szCs w:val="24"/>
          <w:shd w:val="clear" w:color="auto" w:fill="FFFFFF"/>
        </w:rPr>
        <w:t>%；第</w:t>
      </w:r>
      <w:r>
        <w:rPr>
          <w:rFonts w:ascii="Segoe UI" w:eastAsia="宋体" w:hAnsi="Segoe UI" w:cs="Segoe UI" w:hint="eastAsia"/>
          <w:i w:val="0"/>
          <w:iCs w:val="0"/>
          <w:caps w:val="0"/>
          <w:color w:val="0F1115"/>
          <w:spacing w:val="0"/>
          <w:sz w:val="24"/>
          <w:szCs w:val="24"/>
          <w:shd w:val="clear" w:color="auto" w:fill="FFFFFF"/>
          <w:lang w:val="en-US" w:eastAsia="zh-CN"/>
        </w:rPr>
        <w:t>二</w:t>
      </w:r>
      <w:r>
        <w:rPr>
          <w:rFonts w:ascii="Segoe UI" w:eastAsia="Segoe UI" w:hAnsi="Segoe UI" w:cs="Segoe UI"/>
          <w:i w:val="0"/>
          <w:iCs w:val="0"/>
          <w:caps w:val="0"/>
          <w:color w:val="0F1115"/>
          <w:spacing w:val="0"/>
          <w:sz w:val="24"/>
          <w:szCs w:val="24"/>
          <w:shd w:val="clear" w:color="auto" w:fill="FFFFFF"/>
        </w:rPr>
        <w:t>季度随着变更管理流程的持续优化，在变更数量增加至</w:t>
      </w:r>
      <w:r>
        <w:rPr>
          <w:rFonts w:ascii="Segoe UI" w:eastAsia="宋体" w:hAnsi="Segoe UI" w:cs="Segoe UI" w:hint="eastAsia"/>
          <w:i w:val="0"/>
          <w:iCs w:val="0"/>
          <w:caps w:val="0"/>
          <w:color w:val="0F1115"/>
          <w:spacing w:val="0"/>
          <w:sz w:val="24"/>
          <w:szCs w:val="24"/>
          <w:shd w:val="clear" w:color="auto" w:fill="FFFFFF"/>
          <w:lang w:val="en-US" w:eastAsia="zh-CN"/>
        </w:rPr>
        <w:t>8</w:t>
      </w:r>
      <w:r>
        <w:rPr>
          <w:rFonts w:ascii="Segoe UI" w:eastAsia="Segoe UI" w:hAnsi="Segoe UI" w:cs="Segoe UI"/>
          <w:i w:val="0"/>
          <w:iCs w:val="0"/>
          <w:caps w:val="0"/>
          <w:color w:val="0F1115"/>
          <w:spacing w:val="0"/>
          <w:sz w:val="24"/>
          <w:szCs w:val="24"/>
          <w:shd w:val="clear" w:color="auto" w:fill="FFFFFF"/>
        </w:rPr>
        <w:t>次的情况下，成功变更</w:t>
      </w:r>
      <w:r>
        <w:rPr>
          <w:rFonts w:ascii="Segoe UI" w:eastAsia="宋体" w:hAnsi="Segoe UI" w:cs="Segoe UI" w:hint="eastAsia"/>
          <w:i w:val="0"/>
          <w:iCs w:val="0"/>
          <w:caps w:val="0"/>
          <w:color w:val="0F1115"/>
          <w:spacing w:val="0"/>
          <w:sz w:val="24"/>
          <w:szCs w:val="24"/>
          <w:shd w:val="clear" w:color="auto" w:fill="FFFFFF"/>
          <w:lang w:val="en-US" w:eastAsia="zh-CN"/>
        </w:rPr>
        <w:t>8</w:t>
      </w:r>
      <w:r>
        <w:rPr>
          <w:rFonts w:ascii="Segoe UI" w:eastAsia="Segoe UI" w:hAnsi="Segoe UI" w:cs="Segoe UI"/>
          <w:i w:val="0"/>
          <w:iCs w:val="0"/>
          <w:caps w:val="0"/>
          <w:color w:val="0F1115"/>
          <w:spacing w:val="0"/>
          <w:sz w:val="24"/>
          <w:szCs w:val="24"/>
          <w:shd w:val="clear" w:color="auto" w:fill="FFFFFF"/>
        </w:rPr>
        <w:t>次，变更成功率提升至</w:t>
      </w:r>
      <w:r>
        <w:rPr>
          <w:rFonts w:ascii="Segoe UI" w:eastAsia="宋体" w:hAnsi="Segoe UI" w:cs="Segoe UI" w:hint="eastAsia"/>
          <w:i w:val="0"/>
          <w:iCs w:val="0"/>
          <w:caps w:val="0"/>
          <w:color w:val="0F1115"/>
          <w:spacing w:val="0"/>
          <w:sz w:val="24"/>
          <w:szCs w:val="24"/>
          <w:shd w:val="clear" w:color="auto" w:fill="FFFFFF"/>
          <w:lang w:val="en-US" w:eastAsia="zh-CN"/>
        </w:rPr>
        <w:t>100</w:t>
      </w:r>
      <w:r>
        <w:rPr>
          <w:rFonts w:ascii="Segoe UI" w:eastAsia="Segoe UI" w:hAnsi="Segoe UI" w:cs="Segoe UI"/>
          <w:i w:val="0"/>
          <w:iCs w:val="0"/>
          <w:caps w:val="0"/>
          <w:color w:val="0F1115"/>
          <w:spacing w:val="0"/>
          <w:sz w:val="24"/>
          <w:szCs w:val="24"/>
          <w:shd w:val="clear" w:color="auto" w:fill="FFFFFF"/>
        </w:rPr>
        <w:t>%。</w:t>
      </w:r>
      <w:r>
        <w:rPr>
          <w:rFonts w:ascii="Segoe UI" w:eastAsia="宋体" w:hAnsi="Segoe UI" w:cs="Segoe UI" w:hint="eastAsia"/>
          <w:i w:val="0"/>
          <w:iCs w:val="0"/>
          <w:caps w:val="0"/>
          <w:color w:val="0F1115"/>
          <w:spacing w:val="0"/>
          <w:sz w:val="24"/>
          <w:szCs w:val="24"/>
          <w:shd w:val="clear" w:color="auto" w:fill="FFFFFF"/>
          <w:lang w:val="en-US" w:eastAsia="zh-CN"/>
        </w:rPr>
        <w:t>随着相关人员技术能力培训进行和能力提升，第三季度变更数量</w:t>
      </w:r>
      <w:r>
        <w:rPr>
          <w:rFonts w:ascii="Segoe UI" w:hAnsi="Segoe UI" w:cs="Segoe UI" w:hint="eastAsia"/>
          <w:i w:val="0"/>
          <w:iCs w:val="0"/>
          <w:caps w:val="0"/>
          <w:color w:val="0F1115"/>
          <w:spacing w:val="0"/>
          <w:sz w:val="24"/>
          <w:szCs w:val="24"/>
          <w:shd w:val="clear" w:color="auto" w:fill="FFFFFF"/>
          <w:lang w:val="en-US" w:eastAsia="zh-CN"/>
        </w:rPr>
        <w:t>9</w:t>
      </w:r>
      <w:r>
        <w:rPr>
          <w:rFonts w:ascii="Segoe UI" w:eastAsia="宋体" w:hAnsi="Segoe UI" w:cs="Segoe UI" w:hint="eastAsia"/>
          <w:i w:val="0"/>
          <w:iCs w:val="0"/>
          <w:caps w:val="0"/>
          <w:color w:val="0F1115"/>
          <w:spacing w:val="0"/>
          <w:sz w:val="24"/>
          <w:szCs w:val="24"/>
          <w:shd w:val="clear" w:color="auto" w:fill="FFFFFF"/>
          <w:lang w:val="en-US" w:eastAsia="zh-CN"/>
        </w:rPr>
        <w:t>次全部成功，变更成功率达到100%。三</w:t>
      </w:r>
      <w:r>
        <w:rPr>
          <w:rFonts w:ascii="Segoe UI" w:eastAsia="Segoe UI" w:hAnsi="Segoe UI" w:cs="Segoe UI"/>
          <w:i w:val="0"/>
          <w:iCs w:val="0"/>
          <w:caps w:val="0"/>
          <w:color w:val="0F1115"/>
          <w:spacing w:val="0"/>
          <w:sz w:val="24"/>
          <w:szCs w:val="24"/>
          <w:shd w:val="clear" w:color="auto" w:fill="FFFFFF"/>
        </w:rPr>
        <w:t>个季度的变更成功率均超过95%的考核目标值。运维部通过完善变更风险评估机制和强化实施前检查，有效控制了变更风险；质量部通过严格的变更过程监控，确保了变更执行的规范性。基于评估结果，相关部门已进一步优化了紧急变更处理流程，并将典型变更案例纳入知识库，为后续变更管理工作提供了重要参考。</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8" w:name="_Toc1432"/>
      <w:r>
        <w:rPr>
          <w:rFonts w:hint="eastAsia"/>
          <w:lang w:val="en-US" w:eastAsia="zh-CN"/>
        </w:rPr>
        <w:t>发布管理报告</w:t>
      </w:r>
      <w:bookmarkEnd w:id="3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一季度共执行发布10次，其中成功发布10次，发布成功率达到100%。第二季度随着发布流程的优化，在发布次数增加至20次，成功发布19次，发布成功率为95%%。第三季度发布21次全部成功，发布成功率达到100%。三个季度的发布成功率均满足95%的考核目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通过完善预发布检查清单和强化部署规范，有效提升了发布质量。质量部通过严格的发布质量监控，确保了每次发布的合规性和稳定性。基于评估结果，相关部门已进一步优化了发布回滚机制，并将典型发布案例纳入知识库，为后续发布工作提供了重要参考。持续的发布流程改进为确保业务系统稳定运行提供了有力保障。</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9" w:name="_Toc25252"/>
      <w:r>
        <w:rPr>
          <w:rFonts w:hint="eastAsia"/>
          <w:lang w:val="en-US" w:eastAsia="zh-CN"/>
        </w:rPr>
        <w:t>配置管理报告</w:t>
      </w:r>
      <w:bookmarkEnd w:id="3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2025年第一、二和三季度配置管理指标完成情况如下：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第一季度配置项总数为19项，其中准确配置项19项，配置准确率为100%，达到考核目标要求。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二季度配置项数量增至20项，准确配置项为17项，配置准确率下降至85%，未达到99%的考核要求。经分析，第二季度配置准确率未达标的主要原因是新增网络设备配置项关联关系复杂，部分配置项变更后未及时更新关联信息。针对此问题，运维部已制定改进方案：</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组织相关运维同事专项学习了配置管理规范与操作要点，强化流程意识；</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质量团队也加强了日常抽查与复核机制，从过程层面保障数据维护的规范性。通过上述措施，第三季度配置准确率将恢复至达标水平。</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第三季度配置数量20项全部成功，配置成功率达到100%。</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eastAsia="Segoe UI" w:hAnsi="Segoe UI" w:cs="Segoe UI"/>
          <w:i w:val="0"/>
          <w:iCs w:val="0"/>
          <w:caps w:val="0"/>
          <w:color w:val="0F1115"/>
          <w:spacing w:val="0"/>
          <w:sz w:val="24"/>
          <w:szCs w:val="24"/>
          <w:shd w:val="clear" w:color="auto" w:fill="FFFFFF"/>
        </w:rPr>
      </w:pPr>
      <w:bookmarkStart w:id="40" w:name="_Toc183"/>
      <w:r>
        <w:rPr>
          <w:rFonts w:hint="eastAsia"/>
          <w:lang w:val="en-US" w:eastAsia="zh-CN"/>
        </w:rPr>
        <w:t>服务可用性和连续性管理报告</w:t>
      </w:r>
      <w:bookmarkEnd w:id="4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eastAsia="宋体" w:hAnsi="Segoe UI" w:cs="Segoe UI" w:hint="default"/>
          <w:i w:val="0"/>
          <w:iCs w:val="0"/>
          <w:caps w:val="0"/>
          <w:color w:val="0F1115"/>
          <w:spacing w:val="0"/>
          <w:sz w:val="24"/>
          <w:szCs w:val="24"/>
          <w:shd w:val="clear" w:color="auto" w:fill="FFFFFF"/>
          <w:lang w:val="en-US" w:eastAsia="zh-CN"/>
        </w:rPr>
      </w:pPr>
      <w:r>
        <w:rPr>
          <w:rFonts w:ascii="Segoe UI" w:hAnsi="Segoe UI" w:cs="Segoe UI" w:hint="eastAsia"/>
          <w:i w:val="0"/>
          <w:iCs w:val="0"/>
          <w:caps w:val="0"/>
          <w:color w:val="0F1115"/>
          <w:spacing w:val="0"/>
          <w:sz w:val="24"/>
          <w:szCs w:val="24"/>
          <w:shd w:val="clear" w:color="auto" w:fill="FFFFFF"/>
          <w:lang w:val="en-US" w:eastAsia="zh-CN"/>
        </w:rPr>
        <w:t>截止2025年11月，</w:t>
      </w:r>
      <w:r>
        <w:rPr>
          <w:rFonts w:ascii="Segoe UI" w:eastAsia="宋体" w:hAnsi="Segoe UI" w:cs="Segoe UI" w:hint="eastAsia"/>
          <w:i w:val="0"/>
          <w:iCs w:val="0"/>
          <w:caps w:val="0"/>
          <w:color w:val="0F1115"/>
          <w:spacing w:val="0"/>
          <w:sz w:val="24"/>
          <w:szCs w:val="24"/>
          <w:shd w:val="clear" w:color="auto" w:fill="FFFFFF"/>
          <w:lang w:val="en-US" w:eastAsia="zh-CN"/>
        </w:rPr>
        <w:t>关键服务持续可用，没有发生服务中断事件。系统运行稳定</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1" w:name="_Toc24970"/>
      <w:r>
        <w:rPr>
          <w:rFonts w:hint="eastAsia"/>
          <w:lang w:val="en-US" w:eastAsia="zh-CN"/>
        </w:rPr>
        <w:t>容量管理报告</w:t>
      </w:r>
      <w:bookmarkEnd w:id="4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年第一、二和三季度容量管理指标完成情况良好。第一季度未发生因容量不足导致的服务事件，容量事件次数为零；第二季度继续保持良好态势，同样未发生容量相关事件。第三季度在质量部的监督下同样未发生容量事件，系统运行良好。三个季度的容量事件次数均优于考核目标（≤1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通过实施精细化容量规划和建立常态化监控机制，有效预防了容量风险。质量部的跟踪评估显示，现有容量规划方案能够有效支撑业务发展需求。基于评估结果，运维部将持续优化容量预警机制，并计划在下季度引入更精准的容量预测模型，以保持容量管理的领先水平。</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2" w:name="_Toc15837"/>
      <w:r>
        <w:rPr>
          <w:rFonts w:hint="eastAsia"/>
          <w:lang w:val="en-US" w:eastAsia="zh-CN"/>
        </w:rPr>
        <w:t>信息安全管理报告</w:t>
      </w:r>
      <w:bookmarkEnd w:id="4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eastAsia="Segoe UI" w:hAnsi="Segoe UI" w:cs="Segoe UI"/>
          <w:i w:val="0"/>
          <w:iCs w:val="0"/>
          <w:caps w:val="0"/>
          <w:color w:val="0F1115"/>
          <w:spacing w:val="0"/>
          <w:sz w:val="24"/>
          <w:szCs w:val="24"/>
          <w:shd w:val="clear" w:color="auto" w:fill="FFFFFF"/>
        </w:rPr>
        <w:t>信息安全管理成效显著，未发生任何客户信息泄露事件，圆满完成年度考核目标（≤2次）。运维部通过部署防火墙、入侵检测系统及访问控制策略等多层防护措施，有效保障了客户数据安全。质量部通过季度安全审计和渗透测试，验证了信息安全防护体系的有效性。基于年度评估结果，公司计划在下一</w:t>
      </w:r>
      <w:r>
        <w:rPr>
          <w:rFonts w:ascii="Segoe UI" w:eastAsia="宋体" w:hAnsi="Segoe UI" w:cs="Segoe UI" w:hint="eastAsia"/>
          <w:i w:val="0"/>
          <w:iCs w:val="0"/>
          <w:caps w:val="0"/>
          <w:color w:val="0F1115"/>
          <w:spacing w:val="0"/>
          <w:sz w:val="24"/>
          <w:szCs w:val="24"/>
          <w:shd w:val="clear" w:color="auto" w:fill="FFFFFF"/>
          <w:lang w:val="en-US" w:eastAsia="zh-CN"/>
        </w:rPr>
        <w:t>阶段</w:t>
      </w:r>
      <w:r>
        <w:rPr>
          <w:rFonts w:ascii="Segoe UI" w:eastAsia="Segoe UI" w:hAnsi="Segoe UI" w:cs="Segoe UI"/>
          <w:i w:val="0"/>
          <w:iCs w:val="0"/>
          <w:caps w:val="0"/>
          <w:color w:val="0F1115"/>
          <w:spacing w:val="0"/>
          <w:sz w:val="24"/>
          <w:szCs w:val="24"/>
          <w:shd w:val="clear" w:color="auto" w:fill="FFFFFF"/>
        </w:rPr>
        <w:t>引入数据加密新技术，并进一步加强员工安全意识培训，完善信息安全管理体系。</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3" w:name="_Toc23722"/>
      <w:r>
        <w:rPr>
          <w:rFonts w:hint="eastAsia"/>
          <w:lang w:val="en-US" w:eastAsia="zh-CN"/>
        </w:rPr>
        <w:t>交付管理报告</w:t>
      </w:r>
      <w:bookmarkEnd w:id="43"/>
    </w:p>
    <w:p>
      <w:pPr>
        <w:pStyle w:val="a1"/>
        <w:rPr>
          <w:rFonts w:hint="default"/>
          <w:lang w:val="en-US" w:eastAsia="zh-CN"/>
        </w:rPr>
      </w:pPr>
      <w:r>
        <w:rPr>
          <w:rFonts w:hint="eastAsia"/>
          <w:lang w:val="en-US" w:eastAsia="zh-CN"/>
        </w:rPr>
        <w:t>2025年第一、二和三季度均按时完成交付并按时提交相关报告。</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4" w:name="_Toc5219"/>
      <w:r>
        <w:rPr>
          <w:rFonts w:hint="eastAsia"/>
          <w:lang w:val="en-US" w:eastAsia="zh-CN"/>
        </w:rPr>
        <w:t>应急管理报告</w:t>
      </w:r>
      <w:bookmarkEnd w:id="4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按计划完成综合应急演练1次，达到年度考核目标。本次演练由运维部负责组织实施，全面检验了应急响应流程的有效性。质量部对演练过程进行了全程评估，并出具了完整的演练报告。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通过本次演练，验证了应急预案的可行性，针对演练过程中发现的问题，运维部已制定相应的改进措施，包括优化应急通讯机制、完善备用电源切换流程等。演练评估结果已作为应急预案修订的重要依据，有效提升了公司的应急响应能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25223"/>
      <w:r>
        <w:rPr>
          <w:rFonts w:hint="eastAsia"/>
          <w:lang w:val="en-US" w:eastAsia="zh-CN"/>
        </w:rPr>
        <w:t>质量管理报告</w:t>
      </w:r>
      <w:bookmarkEnd w:id="45"/>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6" w:name="_Toc17185"/>
      <w:r>
        <w:rPr>
          <w:rFonts w:hint="eastAsia"/>
          <w:lang w:val="en-US" w:eastAsia="zh-CN"/>
        </w:rPr>
        <w:t>内审</w:t>
      </w:r>
      <w:bookmarkEnd w:id="4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质量部于2025年11月10日制定了内审计划并编制了内审检查表。11月15-16两天进行了内审工作，发现了一项不符合，为一般不符合。由相关部门进行改进并加强培训工作，相关审核人员跟进改进结果。</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7" w:name="_Toc32625"/>
      <w:r>
        <w:rPr>
          <w:rFonts w:hint="eastAsia"/>
          <w:lang w:val="en-US" w:eastAsia="zh-CN"/>
        </w:rPr>
        <w:t>管评</w:t>
      </w:r>
      <w:bookmarkEnd w:id="47"/>
    </w:p>
    <w:p>
      <w:pPr>
        <w:pStyle w:val="a1"/>
        <w:bidi w:val="0"/>
        <w:rPr>
          <w:rFonts w:hint="default"/>
          <w:lang w:val="en-US" w:eastAsia="zh-CN"/>
        </w:rPr>
      </w:pPr>
      <w:r>
        <w:rPr>
          <w:rFonts w:hint="eastAsia"/>
          <w:lang w:val="en-US" w:eastAsia="zh-CN"/>
        </w:rPr>
        <w:t>质量部于2025年11月13日制定了管理评审计划，于11月20日组织各运维相关部门进行了管理评审。</w:t>
      </w:r>
      <w:r>
        <w:t>对本次管理评审公司各相关部门做了周密的安排，参加会议的各部门人员也做了充分的准备，对公司的运维管理目标进行了认真的评议，总结了公司运维能力体系的运行情况</w:t>
      </w:r>
      <w:r>
        <w:rPr>
          <w:rFonts w:hint="eastAsia"/>
        </w:rPr>
        <w:t>。</w:t>
      </w:r>
      <w:r>
        <w:rPr>
          <w:rFonts w:hint="eastAsia"/>
          <w:lang w:val="en-US"/>
        </w:rPr>
        <w:t>肯定了2025年运维服务工作成果。</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8" w:name="_Toc12951"/>
      <w:r>
        <w:rPr>
          <w:rFonts w:hint="eastAsia"/>
          <w:lang w:val="en-US" w:eastAsia="zh-CN"/>
        </w:rPr>
        <w:t>客户满意度</w:t>
      </w:r>
      <w:bookmarkEnd w:id="4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依据满意度管理制度，质量部每季度对客户满意度进行考核。2025年1-3月分发满意度调查问卷13份，客户满意度达到94.64%，4-6月分发满意度调查问卷15份客户满意度达到95.22%，7-9月分发满意度调查问卷15份客户满意度达到95.61%客户满意度呈上升趋势。三季度均满足KPI指标要求。</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天津图云智能科技有限公司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EEFE97EC"/>
    <w:multiLevelType w:val="singleLevel"/>
    <w:tmpl w:val="EEFE97EC"/>
    <w:lvl w:ilvl="0">
      <w:start w:val="1"/>
      <w:numFmt w:val="decimal"/>
      <w:lvlText w:val="%1."/>
      <w:lvlJc w:val="left"/>
      <w:pPr>
        <w:ind w:left="425" w:hanging="425"/>
      </w:pPr>
      <w:rPr>
        <w:rFonts w:hint="default"/>
      </w:rPr>
    </w:lvl>
  </w:abstractNum>
  <w:abstractNum w:abstractNumId="2">
    <w:nsid w:val="29320EFE"/>
    <w:multiLevelType w:val="singleLevel"/>
    <w:tmpl w:val="29320EFE"/>
    <w:lvl w:ilvl="0">
      <w:start w:val="1"/>
      <w:numFmt w:val="decimal"/>
      <w:lvlText w:val="%1."/>
      <w:lvlJc w:val="left"/>
      <w:pPr>
        <w:ind w:left="425" w:hanging="425"/>
      </w:pPr>
      <w:rPr>
        <w:rFonts w:hint="default"/>
      </w:rPr>
    </w:lvl>
  </w:abstractNum>
  <w:abstractNum w:abstractNumId="3">
    <w:nsid w:val="36BE78F2"/>
    <w:multiLevelType w:val="singleLevel"/>
    <w:tmpl w:val="36BE78F2"/>
    <w:lvl w:ilvl="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17</Pages>
  <Words>1555</Words>
  <Characters>1892</Characters>
  <Application>Microsoft Office Word</Application>
  <DocSecurity>0</DocSecurity>
  <Lines>0</Lines>
  <Paragraphs>0</Paragraphs>
  <ScaleCrop>false</ScaleCrop>
  <Company/>
  <LinksUpToDate>false</LinksUpToDate>
  <CharactersWithSpaces>2072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2026-01-15T01:26:41Z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