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运维服务能力指标完成情况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.30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6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</w:p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TableNormal"/>
        <w:tblW w:w="14656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720"/>
        <w:gridCol w:w="1290"/>
        <w:gridCol w:w="599"/>
        <w:gridCol w:w="881"/>
        <w:gridCol w:w="980"/>
        <w:gridCol w:w="1000"/>
        <w:gridCol w:w="950"/>
        <w:gridCol w:w="1100"/>
        <w:gridCol w:w="900"/>
        <w:gridCol w:w="910"/>
        <w:gridCol w:w="990"/>
        <w:gridCol w:w="910"/>
        <w:gridCol w:w="930"/>
        <w:gridCol w:w="930"/>
        <w:gridCol w:w="930"/>
      </w:tblGrid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/>
        </w:trPr>
        <w:tc>
          <w:tcPr>
            <w:tcW w:w="13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599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530" w:type="dxa"/>
            <w:gridSpan w:val="11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  <w:lang w:val="en-US" w:eastAsia="zh-CN"/>
              </w:rPr>
              <w:t>时间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/>
        </w:trPr>
        <w:tc>
          <w:tcPr>
            <w:tcW w:w="1356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129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599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881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default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2025年1月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2025年2月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2025年3月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2025年4月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2025年5月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2025年6月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2025年7月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2025年8月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2025年9月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2025年10月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2025年11月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/>
        </w:trPr>
        <w:tc>
          <w:tcPr>
            <w:tcW w:w="13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1356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/>
        </w:trPr>
        <w:tc>
          <w:tcPr>
            <w:tcW w:w="13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/>
        </w:trPr>
        <w:tc>
          <w:tcPr>
            <w:tcW w:w="636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68%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70%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72%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75%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76%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97.6%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636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98.35%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99.12%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91.7%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color w:val="FF0000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94.64%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95.22%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95.61%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656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/>
        </w:trPr>
        <w:tc>
          <w:tcPr>
            <w:tcW w:w="14656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针对第二季度配置准确率不满足KPI指标的情况，采取以下措施：</w:t>
            </w: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1.对相关运维人员进行培训，学习配置管理制度</w:t>
            </w: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2.后期质量管理人员对此进行抽查，杜绝此类事件再次发生</w:t>
            </w:r>
            <w:bookmarkStart w:id="2" w:name="_GoBack"/>
            <w:bookmarkEnd w:id="2"/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942</Words>
  <Characters>1430</Characters>
  <Application>Microsoft Office Word</Application>
  <DocSecurity>0</DocSecurity>
  <Lines>0</Lines>
  <Paragraphs>0</Paragraphs>
  <ScaleCrop>false</ScaleCrop>
  <Company/>
  <LinksUpToDate>false</LinksUpToDate>
  <CharactersWithSpaces>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2026-01-10T15:46:41Z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