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5941"/>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8534"/>
      <w:r>
        <w:rPr>
          <w:rFonts w:hint="eastAsia"/>
          <w:lang w:val="en-US" w:eastAsia="zh-CN"/>
        </w:rPr>
        <w:t>运维服务质量管理制度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right="0" w:firstLine="0" w:leftChars="0" w:rightChars="0" w:firstLineChars="0"/>
            <w:jc w:val="center"/>
            <w:textAlignment w:val="baseline"/>
            <w:rPr>
              <w:rFonts w:ascii="宋体" w:eastAsia="宋体" w:hAnsi="宋体" w:cs="宋体" w:hint="eastAsia"/>
              <w:sz w:val="21"/>
              <w:szCs w:val="21"/>
            </w:rPr>
          </w:pPr>
          <w:r>
            <w:rPr>
              <w:rFonts w:ascii="宋体" w:eastAsia="宋体" w:hAnsi="宋体" w:cs="宋体" w:hint="eastAsia"/>
              <w:sz w:val="21"/>
              <w:szCs w:val="21"/>
            </w:rPr>
            <w:t>目录</w:t>
          </w:r>
        </w:p>
        <w:p>
          <w:pPr>
            <w:pStyle w:val="TOC1"/>
            <w:tabs>
              <w:tab w:val="right" w:leader="dot" w:pos="8306"/>
            </w:tabs>
          </w:pPr>
          <w:bookmarkStart w:id="2" w:name="_GoBack"/>
          <w:bookmarkEnd w:id="2"/>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TOC \o "1-3" \h \u </w:instrText>
          </w:r>
          <w:r>
            <w:rPr>
              <w:rFonts w:ascii="宋体" w:eastAsia="宋体" w:hAnsi="宋体" w:cs="宋体" w:hint="eastAsia"/>
              <w:sz w:val="21"/>
              <w:szCs w:val="21"/>
            </w:rPr>
            <w:fldChar w:fldCharType="separate"/>
          </w:r>
          <w:r>
            <w:rPr>
              <w:rFonts w:ascii="宋体" w:eastAsia="宋体" w:hAnsi="宋体" w:cs="宋体" w:hint="eastAsia"/>
              <w:szCs w:val="21"/>
            </w:rPr>
            <w:fldChar w:fldCharType="begin"/>
          </w:r>
          <w:r>
            <w:rPr>
              <w:rFonts w:ascii="宋体" w:eastAsia="宋体" w:hAnsi="宋体" w:cs="宋体" w:hint="eastAsia"/>
              <w:szCs w:val="21"/>
            </w:rPr>
            <w:instrText xml:space="preserve"> HYPERLINK \l _Toc5941 </w:instrText>
          </w:r>
          <w:r>
            <w:rPr>
              <w:rFonts w:ascii="宋体" w:eastAsia="宋体" w:hAnsi="宋体" w:cs="宋体" w:hint="eastAsia"/>
              <w:szCs w:val="21"/>
            </w:rPr>
            <w:fldChar w:fldCharType="separate"/>
          </w:r>
          <w:r>
            <w:rPr>
              <w:rFonts w:hint="eastAsia"/>
              <w:lang w:val="en-US" w:eastAsia="zh-CN"/>
            </w:rPr>
            <w:t>天津图云智能科技有限公司</w:t>
          </w:r>
          <w:r>
            <w:tab/>
          </w:r>
          <w:r>
            <w:fldChar w:fldCharType="begin"/>
          </w:r>
          <w:r>
            <w:instrText xml:space="preserve"> PAGEREF _Toc5941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_Toc18534 </w:instrText>
          </w:r>
          <w:r>
            <w:rPr>
              <w:rFonts w:ascii="宋体" w:eastAsia="宋体" w:hAnsi="宋体" w:cs="宋体" w:hint="eastAsia"/>
              <w:szCs w:val="21"/>
            </w:rPr>
            <w:fldChar w:fldCharType="separate"/>
          </w:r>
          <w:r>
            <w:rPr>
              <w:rFonts w:hint="eastAsia"/>
              <w:lang w:val="en-US" w:eastAsia="zh-CN"/>
            </w:rPr>
            <w:t>运维服务质量管理制度</w:t>
          </w:r>
          <w:r>
            <w:tab/>
          </w:r>
          <w:r>
            <w:fldChar w:fldCharType="begin"/>
          </w:r>
          <w:r>
            <w:instrText xml:space="preserve"> PAGEREF _Toc18534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_Toc25831 </w:instrText>
          </w:r>
          <w:r>
            <w:rPr>
              <w:rFonts w:ascii="宋体" w:eastAsia="宋体" w:hAnsi="宋体" w:cs="宋体" w:hint="eastAsia"/>
              <w:szCs w:val="21"/>
            </w:rPr>
            <w:fldChar w:fldCharType="separate"/>
          </w:r>
          <w:r>
            <w:rPr>
              <w:rFonts w:hint="default"/>
            </w:rPr>
            <w:t xml:space="preserve">1. </w:t>
          </w:r>
          <w:r>
            <w:rPr>
              <w:rFonts w:hint="eastAsia"/>
              <w:lang w:val="en-US" w:eastAsia="zh-CN"/>
            </w:rPr>
            <w:t>总则</w:t>
          </w:r>
          <w:r>
            <w:tab/>
          </w:r>
          <w:r>
            <w:fldChar w:fldCharType="begin"/>
          </w:r>
          <w:r>
            <w:instrText xml:space="preserve"> PAGEREF _Toc25831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_Toc17621 </w:instrText>
          </w:r>
          <w:r>
            <w:rPr>
              <w:rFonts w:ascii="宋体" w:eastAsia="宋体" w:hAnsi="宋体" w:cs="宋体" w:hint="eastAsia"/>
              <w:szCs w:val="21"/>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_Toc17621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_Toc29613 </w:instrText>
          </w:r>
          <w:r>
            <w:rPr>
              <w:rFonts w:ascii="宋体" w:eastAsia="宋体" w:hAnsi="宋体" w:cs="宋体" w:hint="eastAsia"/>
              <w:szCs w:val="21"/>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_Toc29613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_Toc28268 </w:instrText>
          </w:r>
          <w:r>
            <w:rPr>
              <w:rFonts w:ascii="宋体" w:eastAsia="宋体" w:hAnsi="宋体" w:cs="宋体" w:hint="eastAsia"/>
              <w:szCs w:val="21"/>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_Toc28268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_Toc20171 </w:instrText>
          </w:r>
          <w:r>
            <w:rPr>
              <w:rFonts w:ascii="宋体" w:eastAsia="宋体" w:hAnsi="宋体" w:cs="宋体" w:hint="eastAsia"/>
              <w:szCs w:val="21"/>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_Toc20171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_Toc18571 </w:instrText>
          </w:r>
          <w:r>
            <w:rPr>
              <w:rFonts w:ascii="宋体" w:eastAsia="宋体" w:hAnsi="宋体" w:cs="宋体" w:hint="eastAsia"/>
              <w:szCs w:val="21"/>
            </w:rPr>
            <w:fldChar w:fldCharType="separate"/>
          </w:r>
          <w:r>
            <w:rPr>
              <w:rFonts w:hint="default"/>
              <w:lang w:val="en-US" w:eastAsia="zh-CN"/>
            </w:rPr>
            <w:t>1.4.1. 公司高层</w:t>
          </w:r>
          <w:r>
            <w:tab/>
          </w:r>
          <w:r>
            <w:fldChar w:fldCharType="begin"/>
          </w:r>
          <w:r>
            <w:instrText xml:space="preserve"> PAGEREF _Toc18571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_Toc9378 </w:instrText>
          </w:r>
          <w:r>
            <w:rPr>
              <w:rFonts w:ascii="宋体" w:eastAsia="宋体" w:hAnsi="宋体" w:cs="宋体" w:hint="eastAsia"/>
              <w:szCs w:val="21"/>
            </w:rPr>
            <w:fldChar w:fldCharType="separate"/>
          </w:r>
          <w:r>
            <w:rPr>
              <w:rFonts w:hint="default"/>
              <w:lang w:val="en-US" w:eastAsia="zh-CN"/>
            </w:rPr>
            <w:t>1.4.2. 管理者代表</w:t>
          </w:r>
          <w:r>
            <w:tab/>
          </w:r>
          <w:r>
            <w:fldChar w:fldCharType="begin"/>
          </w:r>
          <w:r>
            <w:instrText xml:space="preserve"> PAGEREF _Toc9378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_Toc9865 </w:instrText>
          </w:r>
          <w:r>
            <w:rPr>
              <w:rFonts w:ascii="宋体" w:eastAsia="宋体" w:hAnsi="宋体" w:cs="宋体" w:hint="eastAsia"/>
              <w:szCs w:val="21"/>
            </w:rPr>
            <w:fldChar w:fldCharType="separate"/>
          </w:r>
          <w:r>
            <w:rPr>
              <w:rFonts w:hint="default"/>
              <w:lang w:val="en-US" w:eastAsia="zh-CN"/>
            </w:rPr>
            <w:t>1.4.3. 质量部</w:t>
          </w:r>
          <w:r>
            <w:tab/>
          </w:r>
          <w:r>
            <w:fldChar w:fldCharType="begin"/>
          </w:r>
          <w:r>
            <w:instrText xml:space="preserve"> PAGEREF _Toc9865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_Toc18370 </w:instrText>
          </w:r>
          <w:r>
            <w:rPr>
              <w:rFonts w:ascii="宋体" w:eastAsia="宋体" w:hAnsi="宋体" w:cs="宋体" w:hint="eastAsia"/>
              <w:szCs w:val="21"/>
            </w:rPr>
            <w:fldChar w:fldCharType="separate"/>
          </w:r>
          <w:r>
            <w:rPr>
              <w:rFonts w:hint="default"/>
              <w:lang w:val="en-US" w:eastAsia="zh-CN"/>
            </w:rPr>
            <w:t>1.4.4. 运维部</w:t>
          </w:r>
          <w:r>
            <w:tab/>
          </w:r>
          <w:r>
            <w:fldChar w:fldCharType="begin"/>
          </w:r>
          <w:r>
            <w:instrText xml:space="preserve"> PAGEREF _Toc18370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_Toc29439 </w:instrText>
          </w:r>
          <w:r>
            <w:rPr>
              <w:rFonts w:ascii="宋体" w:eastAsia="宋体" w:hAnsi="宋体" w:cs="宋体" w:hint="eastAsia"/>
              <w:szCs w:val="21"/>
            </w:rPr>
            <w:fldChar w:fldCharType="separate"/>
          </w:r>
          <w:r>
            <w:rPr>
              <w:rFonts w:hint="default"/>
              <w:lang w:val="en-US" w:eastAsia="zh-CN"/>
            </w:rPr>
            <w:t>1.4.5. 综合管理部</w:t>
          </w:r>
          <w:r>
            <w:tab/>
          </w:r>
          <w:r>
            <w:fldChar w:fldCharType="begin"/>
          </w:r>
          <w:r>
            <w:instrText xml:space="preserve"> PAGEREF _Toc29439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_Toc31103 </w:instrText>
          </w:r>
          <w:r>
            <w:rPr>
              <w:rFonts w:ascii="宋体" w:eastAsia="宋体" w:hAnsi="宋体" w:cs="宋体" w:hint="eastAsia"/>
              <w:szCs w:val="21"/>
            </w:rPr>
            <w:fldChar w:fldCharType="separate"/>
          </w:r>
          <w:r>
            <w:rPr>
              <w:rFonts w:hint="default"/>
              <w:lang w:val="en-US" w:eastAsia="zh-CN"/>
            </w:rPr>
            <w:t>1.4.6. 采购部</w:t>
          </w:r>
          <w:r>
            <w:tab/>
          </w:r>
          <w:r>
            <w:fldChar w:fldCharType="begin"/>
          </w:r>
          <w:r>
            <w:instrText xml:space="preserve"> PAGEREF _Toc31103 \h </w:instrText>
          </w:r>
          <w:r>
            <w:fldChar w:fldCharType="separate"/>
          </w:r>
          <w:r>
            <w:t>6</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_Toc28298 </w:instrText>
          </w:r>
          <w:r>
            <w:rPr>
              <w:rFonts w:ascii="宋体" w:eastAsia="宋体" w:hAnsi="宋体" w:cs="宋体" w:hint="eastAsia"/>
              <w:szCs w:val="21"/>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_Toc28298 \h </w:instrText>
          </w:r>
          <w:r>
            <w:fldChar w:fldCharType="separate"/>
          </w:r>
          <w:r>
            <w:t>6</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_Toc21045 </w:instrText>
          </w:r>
          <w:r>
            <w:rPr>
              <w:rFonts w:ascii="宋体" w:eastAsia="宋体" w:hAnsi="宋体" w:cs="宋体" w:hint="eastAsia"/>
              <w:szCs w:val="21"/>
            </w:rPr>
            <w:fldChar w:fldCharType="separate"/>
          </w:r>
          <w:r>
            <w:rPr>
              <w:rFonts w:hint="default"/>
            </w:rPr>
            <w:t xml:space="preserve">3. </w:t>
          </w:r>
          <w:r>
            <w:rPr>
              <w:rFonts w:hint="eastAsia"/>
              <w:lang w:val="en-US" w:eastAsia="zh-CN"/>
            </w:rPr>
            <w:t>定义与术语</w:t>
          </w:r>
          <w:r>
            <w:tab/>
          </w:r>
          <w:r>
            <w:fldChar w:fldCharType="begin"/>
          </w:r>
          <w:r>
            <w:instrText xml:space="preserve"> PAGEREF _Toc21045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_Toc2434 </w:instrText>
          </w:r>
          <w:r>
            <w:rPr>
              <w:rFonts w:ascii="宋体" w:eastAsia="宋体" w:hAnsi="宋体" w:cs="宋体" w:hint="eastAsia"/>
              <w:szCs w:val="21"/>
            </w:rPr>
            <w:fldChar w:fldCharType="separate"/>
          </w:r>
          <w:r>
            <w:rPr>
              <w:rFonts w:hint="default"/>
            </w:rPr>
            <w:t xml:space="preserve">3.1. </w:t>
          </w:r>
          <w:r>
            <w:rPr>
              <w:rFonts w:hint="eastAsia"/>
            </w:rPr>
            <w:t>SLA</w:t>
          </w:r>
          <w:r>
            <w:tab/>
          </w:r>
          <w:r>
            <w:fldChar w:fldCharType="begin"/>
          </w:r>
          <w:r>
            <w:instrText xml:space="preserve"> PAGEREF _Toc2434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_Toc31902 </w:instrText>
          </w:r>
          <w:r>
            <w:rPr>
              <w:rFonts w:ascii="宋体" w:eastAsia="宋体" w:hAnsi="宋体" w:cs="宋体" w:hint="eastAsia"/>
              <w:szCs w:val="21"/>
            </w:rPr>
            <w:fldChar w:fldCharType="separate"/>
          </w:r>
          <w:r>
            <w:rPr>
              <w:rFonts w:hint="default"/>
            </w:rPr>
            <w:t xml:space="preserve">3.2. </w:t>
          </w:r>
          <w:r>
            <w:rPr>
              <w:rFonts w:hint="eastAsia"/>
            </w:rPr>
            <w:t>内部审核</w:t>
          </w:r>
          <w:r>
            <w:tab/>
          </w:r>
          <w:r>
            <w:fldChar w:fldCharType="begin"/>
          </w:r>
          <w:r>
            <w:instrText xml:space="preserve"> PAGEREF _Toc31902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_Toc22644 </w:instrText>
          </w:r>
          <w:r>
            <w:rPr>
              <w:rFonts w:ascii="宋体" w:eastAsia="宋体" w:hAnsi="宋体" w:cs="宋体" w:hint="eastAsia"/>
              <w:szCs w:val="21"/>
            </w:rPr>
            <w:fldChar w:fldCharType="separate"/>
          </w:r>
          <w:r>
            <w:rPr>
              <w:rFonts w:hint="default"/>
            </w:rPr>
            <w:t xml:space="preserve">3.3. </w:t>
          </w:r>
          <w:r>
            <w:rPr>
              <w:rFonts w:hint="eastAsia"/>
            </w:rPr>
            <w:t>管理评审</w:t>
          </w:r>
          <w:r>
            <w:tab/>
          </w:r>
          <w:r>
            <w:fldChar w:fldCharType="begin"/>
          </w:r>
          <w:r>
            <w:instrText xml:space="preserve"> PAGEREF _Toc22644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_Toc25830 </w:instrText>
          </w:r>
          <w:r>
            <w:rPr>
              <w:rFonts w:ascii="宋体" w:eastAsia="宋体" w:hAnsi="宋体" w:cs="宋体" w:hint="eastAsia"/>
              <w:szCs w:val="21"/>
            </w:rPr>
            <w:fldChar w:fldCharType="separate"/>
          </w:r>
          <w:r>
            <w:rPr>
              <w:rFonts w:hint="default"/>
            </w:rPr>
            <w:t xml:space="preserve">3.4. </w:t>
          </w:r>
          <w:r>
            <w:rPr>
              <w:rFonts w:hint="eastAsia"/>
            </w:rPr>
            <w:t>不符合项</w:t>
          </w:r>
          <w:r>
            <w:tab/>
          </w:r>
          <w:r>
            <w:fldChar w:fldCharType="begin"/>
          </w:r>
          <w:r>
            <w:instrText xml:space="preserve"> PAGEREF _Toc25830 \h </w:instrText>
          </w:r>
          <w:r>
            <w:fldChar w:fldCharType="separate"/>
          </w:r>
          <w:r>
            <w:t>7</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_Toc24930 </w:instrText>
          </w:r>
          <w:r>
            <w:rPr>
              <w:rFonts w:ascii="宋体" w:eastAsia="宋体" w:hAnsi="宋体" w:cs="宋体" w:hint="eastAsia"/>
              <w:szCs w:val="21"/>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_Toc24930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_Toc16744 </w:instrText>
          </w:r>
          <w:r>
            <w:rPr>
              <w:rFonts w:ascii="宋体" w:eastAsia="宋体" w:hAnsi="宋体" w:cs="宋体" w:hint="eastAsia"/>
              <w:szCs w:val="21"/>
            </w:rPr>
            <w:fldChar w:fldCharType="separate"/>
          </w:r>
          <w:r>
            <w:rPr>
              <w:rFonts w:hint="default"/>
              <w:lang w:val="en-US" w:eastAsia="zh-CN"/>
            </w:rPr>
            <w:t>4.1. 体系审核与评审管理</w:t>
          </w:r>
          <w:r>
            <w:tab/>
          </w:r>
          <w:r>
            <w:fldChar w:fldCharType="begin"/>
          </w:r>
          <w:r>
            <w:instrText xml:space="preserve"> PAGEREF _Toc16744 \h </w:instrText>
          </w:r>
          <w:r>
            <w:fldChar w:fldCharType="separate"/>
          </w:r>
          <w:r>
            <w:t>7</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_Toc12312 </w:instrText>
          </w:r>
          <w:r>
            <w:rPr>
              <w:rFonts w:ascii="宋体" w:eastAsia="宋体" w:hAnsi="宋体" w:cs="宋体" w:hint="eastAsia"/>
              <w:szCs w:val="21"/>
            </w:rPr>
            <w:fldChar w:fldCharType="separate"/>
          </w:r>
          <w:r>
            <w:rPr>
              <w:rFonts w:hint="default"/>
              <w:lang w:val="en-US" w:eastAsia="zh-CN"/>
            </w:rPr>
            <w:t>4.1.1. 内部审核</w:t>
          </w:r>
          <w:r>
            <w:tab/>
          </w:r>
          <w:r>
            <w:fldChar w:fldCharType="begin"/>
          </w:r>
          <w:r>
            <w:instrText xml:space="preserve"> PAGEREF _Toc12312 \h </w:instrText>
          </w:r>
          <w:r>
            <w:fldChar w:fldCharType="separate"/>
          </w:r>
          <w:r>
            <w:t>7</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_Toc18992 </w:instrText>
          </w:r>
          <w:r>
            <w:rPr>
              <w:rFonts w:ascii="宋体" w:eastAsia="宋体" w:hAnsi="宋体" w:cs="宋体" w:hint="eastAsia"/>
              <w:szCs w:val="21"/>
            </w:rPr>
            <w:fldChar w:fldCharType="separate"/>
          </w:r>
          <w:r>
            <w:rPr>
              <w:rFonts w:hint="default"/>
              <w:lang w:val="en-US" w:eastAsia="zh-CN"/>
            </w:rPr>
            <w:t>4.1.2. 管理评审</w:t>
          </w:r>
          <w:r>
            <w:tab/>
          </w:r>
          <w:r>
            <w:fldChar w:fldCharType="begin"/>
          </w:r>
          <w:r>
            <w:instrText xml:space="preserve"> PAGEREF _Toc18992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_Toc21017 </w:instrText>
          </w:r>
          <w:r>
            <w:rPr>
              <w:rFonts w:ascii="宋体" w:eastAsia="宋体" w:hAnsi="宋体" w:cs="宋体" w:hint="eastAsia"/>
              <w:szCs w:val="21"/>
            </w:rPr>
            <w:fldChar w:fldCharType="separate"/>
          </w:r>
          <w:r>
            <w:rPr>
              <w:rFonts w:hint="default"/>
              <w:lang w:val="en-US" w:eastAsia="zh-CN"/>
            </w:rPr>
            <w:t>4.2. 服务质量过程控制</w:t>
          </w:r>
          <w:r>
            <w:tab/>
          </w:r>
          <w:r>
            <w:fldChar w:fldCharType="begin"/>
          </w:r>
          <w:r>
            <w:instrText xml:space="preserve"> PAGEREF _Toc21017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_Toc23997 </w:instrText>
          </w:r>
          <w:r>
            <w:rPr>
              <w:rFonts w:ascii="宋体" w:eastAsia="宋体" w:hAnsi="宋体" w:cs="宋体" w:hint="eastAsia"/>
              <w:szCs w:val="21"/>
            </w:rPr>
            <w:fldChar w:fldCharType="separate"/>
          </w:r>
          <w:r>
            <w:rPr>
              <w:rFonts w:hint="default"/>
              <w:lang w:val="en-US" w:eastAsia="zh-CN"/>
            </w:rPr>
            <w:t>4.2.1. 服务</w:t>
          </w:r>
          <w:r>
            <w:rPr>
              <w:rFonts w:hint="eastAsia"/>
              <w:lang w:val="en-US" w:eastAsia="zh-CN"/>
            </w:rPr>
            <w:t>质量</w:t>
          </w:r>
          <w:r>
            <w:rPr>
              <w:rFonts w:hint="default"/>
              <w:lang w:val="en-US" w:eastAsia="zh-CN"/>
            </w:rPr>
            <w:t>交付控制</w:t>
          </w:r>
          <w:r>
            <w:tab/>
          </w:r>
          <w:r>
            <w:fldChar w:fldCharType="begin"/>
          </w:r>
          <w:r>
            <w:instrText xml:space="preserve"> PAGEREF _Toc23997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_Toc7913 </w:instrText>
          </w:r>
          <w:r>
            <w:rPr>
              <w:rFonts w:ascii="宋体" w:eastAsia="宋体" w:hAnsi="宋体" w:cs="宋体" w:hint="eastAsia"/>
              <w:szCs w:val="21"/>
            </w:rPr>
            <w:fldChar w:fldCharType="separate"/>
          </w:r>
          <w:r>
            <w:rPr>
              <w:rFonts w:hint="default"/>
              <w:lang w:val="en-US" w:eastAsia="zh-CN"/>
            </w:rPr>
            <w:t>4.2.2. 服务质量度量与分析</w:t>
          </w:r>
          <w:r>
            <w:tab/>
          </w:r>
          <w:r>
            <w:fldChar w:fldCharType="begin"/>
          </w:r>
          <w:r>
            <w:instrText xml:space="preserve"> PAGEREF _Toc7913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_Toc1169 </w:instrText>
          </w:r>
          <w:r>
            <w:rPr>
              <w:rFonts w:ascii="宋体" w:eastAsia="宋体" w:hAnsi="宋体" w:cs="宋体" w:hint="eastAsia"/>
              <w:szCs w:val="21"/>
            </w:rPr>
            <w:fldChar w:fldCharType="separate"/>
          </w:r>
          <w:r>
            <w:rPr>
              <w:rFonts w:hint="default"/>
              <w:lang w:val="en-US" w:eastAsia="zh-CN"/>
            </w:rPr>
            <w:t>4.3. 客户满意度管理</w:t>
          </w:r>
          <w:r>
            <w:tab/>
          </w:r>
          <w:r>
            <w:fldChar w:fldCharType="begin"/>
          </w:r>
          <w:r>
            <w:instrText xml:space="preserve"> PAGEREF _Toc1169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_Toc6085 </w:instrText>
          </w:r>
          <w:r>
            <w:rPr>
              <w:rFonts w:ascii="宋体" w:eastAsia="宋体" w:hAnsi="宋体" w:cs="宋体" w:hint="eastAsia"/>
              <w:szCs w:val="21"/>
            </w:rPr>
            <w:fldChar w:fldCharType="separate"/>
          </w:r>
          <w:r>
            <w:rPr>
              <w:rFonts w:hint="default"/>
              <w:lang w:val="en-US" w:eastAsia="zh-CN"/>
            </w:rPr>
            <w:t>4.3.1. 多层级满意度调查</w:t>
          </w:r>
          <w:r>
            <w:tab/>
          </w:r>
          <w:r>
            <w:fldChar w:fldCharType="begin"/>
          </w:r>
          <w:r>
            <w:instrText xml:space="preserve"> PAGEREF _Toc6085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_Toc4758 </w:instrText>
          </w:r>
          <w:r>
            <w:rPr>
              <w:rFonts w:ascii="宋体" w:eastAsia="宋体" w:hAnsi="宋体" w:cs="宋体" w:hint="eastAsia"/>
              <w:szCs w:val="21"/>
            </w:rPr>
            <w:fldChar w:fldCharType="separate"/>
          </w:r>
          <w:r>
            <w:rPr>
              <w:rFonts w:hint="default"/>
              <w:lang w:val="en-US" w:eastAsia="zh-CN"/>
            </w:rPr>
            <w:t>4.3.2. 客户沟通与关系维护</w:t>
          </w:r>
          <w:r>
            <w:tab/>
          </w:r>
          <w:r>
            <w:fldChar w:fldCharType="begin"/>
          </w:r>
          <w:r>
            <w:instrText xml:space="preserve"> PAGEREF _Toc4758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_Toc16907 </w:instrText>
          </w:r>
          <w:r>
            <w:rPr>
              <w:rFonts w:ascii="宋体" w:eastAsia="宋体" w:hAnsi="宋体" w:cs="宋体" w:hint="eastAsia"/>
              <w:szCs w:val="21"/>
            </w:rPr>
            <w:fldChar w:fldCharType="separate"/>
          </w:r>
          <w:r>
            <w:rPr>
              <w:rFonts w:hint="default"/>
              <w:lang w:val="en-US" w:eastAsia="zh-CN"/>
            </w:rPr>
            <w:t>4.4. 持续改进机制</w:t>
          </w:r>
          <w:r>
            <w:tab/>
          </w:r>
          <w:r>
            <w:fldChar w:fldCharType="begin"/>
          </w:r>
          <w:r>
            <w:instrText xml:space="preserve"> PAGEREF _Toc16907 \h </w:instrText>
          </w:r>
          <w:r>
            <w:fldChar w:fldCharType="separate"/>
          </w:r>
          <w:r>
            <w:t>9</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_Toc23653 </w:instrText>
          </w:r>
          <w:r>
            <w:rPr>
              <w:rFonts w:ascii="宋体" w:eastAsia="宋体" w:hAnsi="宋体" w:cs="宋体" w:hint="eastAsia"/>
              <w:szCs w:val="21"/>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_Toc23653 \h </w:instrText>
          </w:r>
          <w:r>
            <w:fldChar w:fldCharType="separate"/>
          </w:r>
          <w:r>
            <w:t>10</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_Toc14808 </w:instrText>
          </w:r>
          <w:r>
            <w:rPr>
              <w:rFonts w:ascii="宋体" w:eastAsia="宋体" w:hAnsi="宋体" w:cs="宋体" w:hint="eastAsia"/>
              <w:szCs w:val="21"/>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_Toc14808 \h </w:instrText>
          </w:r>
          <w:r>
            <w:fldChar w:fldCharType="separate"/>
          </w:r>
          <w:r>
            <w:t>10</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_Toc26600 </w:instrText>
          </w:r>
          <w:r>
            <w:rPr>
              <w:rFonts w:ascii="宋体" w:eastAsia="宋体" w:hAnsi="宋体" w:cs="宋体" w:hint="eastAsia"/>
              <w:szCs w:val="21"/>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_Toc26600 \h </w:instrText>
          </w:r>
          <w:r>
            <w:fldChar w:fldCharType="separate"/>
          </w:r>
          <w:r>
            <w:t>10</w:t>
          </w:r>
          <w:r>
            <w:fldChar w:fldCharType="end"/>
          </w:r>
          <w:r>
            <w:rPr>
              <w:rFonts w:ascii="宋体" w:eastAsia="宋体" w:hAnsi="宋体" w:cs="宋体" w:hint="eastAsia"/>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1"/>
            </w:rPr>
            <w:fldChar w:fldCharType="end"/>
          </w:r>
        </w:p>
      </w:sdtContent>
    </w:sdt>
    <w:p>
      <w:r>
        <w:rPr>
          <w:rFonts w:hint="eastAsia"/>
          <w:lang w:val="en-US" w:eastAsia="zh-CN"/>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5831"/>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7621"/>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为确保持续稳定地向客户提供高品质的信息技术运行维护服务，系统性地发现服务实施过程中的缺陷与改进机会，保障公司运维服务能力管理体系（以下称“体系”）的有效运行与持续改进，特制定本制度。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9613"/>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本制度适用于天津图云智能科技有限公司运维服务能力管理体系所覆盖的所有部门及服务全过程，包括运维部、综合管理部、技术中心、质量部、采购部等。</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28268"/>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预防为主，持续改进：注重过程控制与事前预防，通过定期审计与监督，推动服务质量螺旋式上升。</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客观公正，数据决策：所有监督检查活动应以客观证据为基础，依据数据进行分析与决策。</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客户导向，聚焦价值：以确保并提升客户满意度为根本出发点，衡量与改进服务价值。</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20171"/>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8571"/>
      <w:r>
        <w:rPr>
          <w:rFonts w:hint="default"/>
          <w:lang w:val="en-US" w:eastAsia="zh-CN"/>
        </w:rPr>
        <w:t>公司高层</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审批年度运维服务能力管理计划；主持管理评审，确保体系的适应性与有效性。</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9378"/>
      <w:r>
        <w:rPr>
          <w:rFonts w:hint="default"/>
          <w:lang w:val="en-US" w:eastAsia="zh-CN"/>
        </w:rPr>
        <w:t>管理者代表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协助高层进行管理评审；任命内审组长并组织内部审核；监控服务过程，审批重大改进。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9865"/>
      <w:r>
        <w:rPr>
          <w:rFonts w:hint="default"/>
          <w:lang w:val="en-US" w:eastAsia="zh-CN"/>
        </w:rPr>
        <w:t>质量部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制定总体服务质量管理计划；组织内审、管理评审与客户满意度调查；监控服务质量，推动持续改进。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18370"/>
      <w:r>
        <w:rPr>
          <w:rFonts w:hint="default"/>
          <w:lang w:val="en-US" w:eastAsia="zh-CN"/>
        </w:rPr>
        <w:t>运维部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依据SLA及作业指导书实施运维服务；记录服务过程；针对不符合项制定并实施纠正与预防措施。</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2" w:name="_Toc29439"/>
      <w:r>
        <w:rPr>
          <w:rFonts w:hint="default"/>
          <w:lang w:val="en-US" w:eastAsia="zh-CN"/>
        </w:rPr>
        <w:t>综合管理部</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确保提供满足能力要求的人力资源，组织相关培训。</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31103"/>
      <w:r>
        <w:rPr>
          <w:rFonts w:hint="default"/>
          <w:lang w:val="en-US" w:eastAsia="zh-CN"/>
        </w:rPr>
        <w:t>采购部</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确保备品备件供应的及时性与可用性。</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4" w:name="_Toc28298"/>
      <w:r>
        <w:rPr>
          <w:rFonts w:hint="eastAsia"/>
          <w:lang w:val="en-US" w:eastAsia="zh-CN"/>
        </w:rPr>
        <w:t>引用依据</w:t>
      </w:r>
      <w:bookmarkEnd w:id="14"/>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公司《2025年度运维服务能力管理计划》</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5" w:name="_Toc21045"/>
      <w:r>
        <w:rPr>
          <w:rFonts w:hint="eastAsia"/>
          <w:lang w:val="en-US" w:eastAsia="zh-CN"/>
        </w:rPr>
        <w:t>定义与术语</w:t>
      </w:r>
      <w:bookmarkEnd w:id="15"/>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2434"/>
      <w:r>
        <w:rPr>
          <w:rFonts w:hint="eastAsia"/>
        </w:rPr>
        <w:t>SLA</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服务级别协议，界定运维服务范围、质量标准和双方责任的文件。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31902"/>
      <w:r>
        <w:rPr>
          <w:rFonts w:hint="eastAsia"/>
        </w:rPr>
        <w:t>内部审核</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为获取证据并对其进行客观评价，以确定满足审核准则的程度所进行的系统的、独立的并形成文件的过程。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2644"/>
      <w:r>
        <w:rPr>
          <w:rFonts w:hint="eastAsia"/>
        </w:rPr>
        <w:t>管理评审</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由最高管理者就质量方针和目标，对体系的适宜性、充分性和有效性进行的正式评价。</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25830"/>
      <w:r>
        <w:rPr>
          <w:rFonts w:hint="eastAsia"/>
        </w:rPr>
        <w:t>不符合项</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未满足规范、标准或体系文件要求的情况。</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24930"/>
      <w:r>
        <w:rPr>
          <w:rFonts w:hint="eastAsia"/>
          <w:lang w:val="en-US" w:eastAsia="zh-CN"/>
        </w:rPr>
        <w:t>管理内容与要求</w:t>
      </w:r>
      <w:bookmarkEnd w:id="20"/>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6744"/>
      <w:r>
        <w:rPr>
          <w:rFonts w:hint="default"/>
          <w:lang w:val="en-US" w:eastAsia="zh-CN"/>
        </w:rPr>
        <w:t>体系审核与评审管理</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本部分是评价体系整体符合性与有效性的核心机制。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2312"/>
      <w:r>
        <w:rPr>
          <w:rFonts w:hint="default"/>
          <w:lang w:val="en-US" w:eastAsia="zh-CN"/>
        </w:rPr>
        <w:t>内部审核</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频次与计划：每年至少进行一次全覆盖内部审核，间隔不超过12个月。质量部负责于2025年1季度末前制定并提交《2025年度内部审核方案》，报管理者代表审批。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审核范围与依据：审核应覆盖运维服务相关的所有部门与过程（人员、资源、技术、过程</w:t>
      </w:r>
      <w:r>
        <w:rPr>
          <w:rFonts w:hint="eastAsia"/>
          <w:lang w:val="en-US" w:eastAsia="zh-CN"/>
        </w:rPr>
        <w:t>、交付和应急</w:t>
      </w:r>
      <w:r>
        <w:rPr>
          <w:rFonts w:hint="default"/>
          <w:lang w:val="en-US" w:eastAsia="zh-CN"/>
        </w:rPr>
        <w:t>）。审核准则包括ITSS标准、公司体系文件及适用法律法规。</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实施：审核组需编制检查表，客观记录审核证据。审核结束后，出具《内部审核报告》，对发现的不符合项，责任部门需在5个工作日内分析原因并制定《纠正与预防措施报告》，由审核组跟踪验证直至关闭。</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18992"/>
      <w:r>
        <w:rPr>
          <w:rFonts w:hint="default"/>
          <w:lang w:val="en-US" w:eastAsia="zh-CN"/>
        </w:rPr>
        <w:t>管理评审</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频次与组织：每年至少进行一次，由公司高层主持，管理者代表组织，各部门负责人参加。</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输入与输出：评审输入需包括：年度内审结果客户满意度分析、服务质量目标达成情况、纠正与预防措施状况</w:t>
      </w:r>
      <w:r>
        <w:rPr>
          <w:rFonts w:hint="eastAsia"/>
          <w:lang w:val="en-US" w:eastAsia="zh-CN"/>
        </w:rPr>
        <w:t>和</w:t>
      </w:r>
      <w:r>
        <w:rPr>
          <w:rFonts w:hint="default"/>
          <w:lang w:val="en-US" w:eastAsia="zh-CN"/>
        </w:rPr>
        <w:t>以往管理评审的跟踪措施等。评审输出应包括体系改进决策、资源需求变更及下一年度质量目标。</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21017"/>
      <w:r>
        <w:rPr>
          <w:rFonts w:hint="default"/>
          <w:lang w:val="en-US" w:eastAsia="zh-CN"/>
        </w:rPr>
        <w:t>服务质量过程控制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本部分规定了在项目与服务交付层面确保质量的具体活动。</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23997"/>
      <w:r>
        <w:rPr>
          <w:rFonts w:hint="default"/>
          <w:lang w:val="en-US" w:eastAsia="zh-CN"/>
        </w:rPr>
        <w:t>服务</w:t>
      </w:r>
      <w:r>
        <w:rPr>
          <w:rFonts w:hint="eastAsia"/>
          <w:lang w:val="en-US" w:eastAsia="zh-CN"/>
        </w:rPr>
        <w:t>质量</w:t>
      </w:r>
      <w:r>
        <w:rPr>
          <w:rFonts w:hint="default"/>
          <w:lang w:val="en-US" w:eastAsia="zh-CN"/>
        </w:rPr>
        <w:t>交付控制</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计划与准备：项目启动前，专业负责人需根据SLA要求制定《服务质量保证计划》，明确质量控制点与方法。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过程执行与监控：运维人员须严格按作业指导书操作，实时记录服务过程。专业负责人对关键活动进行监督，确保符合SLA要求。</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7913"/>
      <w:r>
        <w:rPr>
          <w:rFonts w:hint="default"/>
          <w:lang w:val="en-US" w:eastAsia="zh-CN"/>
        </w:rPr>
        <w:t>服务质量度量与分析</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数据收集：质量部牵头，协同运维部定义并收集关键绩效指标，如事件解决率、平均修复时间、SLA达成率等。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定期分析：运维部经理每月组织召开质量分析会，基于数据形成《月度质量分析报告》，识别趋势性问题并启动改进。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1169"/>
      <w:r>
        <w:rPr>
          <w:rFonts w:hint="default"/>
          <w:lang w:val="en-US" w:eastAsia="zh-CN"/>
        </w:rPr>
        <w:t>客户满意度管理</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客户反馈是衡量服务质量的重要标尺。</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6085"/>
      <w:r>
        <w:rPr>
          <w:rFonts w:hint="default"/>
          <w:lang w:val="en-US" w:eastAsia="zh-CN"/>
        </w:rPr>
        <w:t>多层级满意度调查</w:t>
      </w:r>
      <w:bookmarkEnd w:id="28"/>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事件级回访：</w:t>
      </w:r>
      <w:r>
        <w:rPr>
          <w:rFonts w:hint="eastAsia"/>
          <w:lang w:val="en-US" w:eastAsia="zh-CN"/>
        </w:rPr>
        <w:t>服务台专员</w:t>
      </w:r>
      <w:r>
        <w:rPr>
          <w:rFonts w:hint="default"/>
          <w:lang w:val="en-US" w:eastAsia="zh-CN"/>
        </w:rPr>
        <w:t>在单个事件关闭后24小时内进行100%电话回访，记录单次服务满意度。</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项目级调查：专业负责人每月通过问卷等形式，对项目客户进行满意度调查。</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公司级调查：质量部每年至少组织一次全面的客户满意度调查，确保样本覆盖所有主要客户和项目，并出具《年度客户满意度综合分析报告》。</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4758"/>
      <w:r>
        <w:rPr>
          <w:rFonts w:hint="default"/>
          <w:lang w:val="en-US" w:eastAsia="zh-CN"/>
        </w:rPr>
        <w:t>客户沟通与关系维护</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运维部经理及以上人员应定期对重点客户进行拜访，直接获取高层次反馈，并记录于《客户拜访记录表》。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16907"/>
      <w:r>
        <w:rPr>
          <w:rFonts w:hint="default"/>
          <w:lang w:val="en-US" w:eastAsia="zh-CN"/>
        </w:rPr>
        <w:t>持续改进机制</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改进机会识别：改进机会应来源于内审/外审、管理评审、数据分析、客户投诉与建议等。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改进项目实施：对于确认的改进项，由责任部门制定改进计划，经审批后实施。质量部负责跟踪改进措施的实施效果，并将其纳入管理评审。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运维服务内容如表4-1所示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STYLEREF "柴_标题1" \n \* Charformat</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SEQ 图表 \* ARABIC  \s 1</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1</w:t>
      </w:r>
      <w:r>
        <w:rPr>
          <w:rFonts w:hint="eastAsia"/>
          <w:lang w:val="en-US" w:eastAsia="zh-CN"/>
        </w:rPr>
        <w:fldChar w:fldCharType="end"/>
      </w:r>
      <w:r>
        <w:rPr>
          <w:rFonts w:hint="eastAsia"/>
          <w:lang w:val="en-US" w:eastAsia="zh-CN"/>
        </w:rPr>
        <w:t>运维服务内容表</w:t>
      </w:r>
    </w:p>
    <w:tbl>
      <w:tblPr>
        <w:tblStyle w:val="TableNormal1"/>
        <w:tblW w:w="93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946"/>
        <w:gridCol w:w="2124"/>
        <w:gridCol w:w="1649"/>
        <w:gridCol w:w="1587"/>
      </w:tblGrid>
      <w:tr>
        <w:tblPrEx>
          <w:tblW w:w="93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945"/>
        </w:trPr>
        <w:tc>
          <w:tcPr>
            <w:tcW w:w="3946"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1253"/>
              <w:textAlignment w:val="baseline"/>
              <w:rPr>
                <w:rFonts w:ascii="宋体" w:eastAsia="宋体" w:hAnsi="宋体" w:cs="宋体"/>
                <w:sz w:val="24"/>
                <w:szCs w:val="24"/>
              </w:rPr>
            </w:pPr>
            <w:r>
              <w:rPr>
                <w:rFonts w:ascii="宋体" w:eastAsia="宋体" w:hAnsi="宋体" w:cs="宋体"/>
                <w:b/>
                <w:bCs/>
                <w:spacing w:val="-4"/>
                <w:sz w:val="24"/>
                <w:szCs w:val="24"/>
              </w:rPr>
              <w:t>运维服务内容</w:t>
            </w:r>
          </w:p>
        </w:tc>
        <w:tc>
          <w:tcPr>
            <w:tcW w:w="2124"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582"/>
              <w:textAlignment w:val="baseline"/>
              <w:rPr>
                <w:rFonts w:ascii="宋体" w:eastAsia="宋体" w:hAnsi="宋体" w:cs="宋体"/>
                <w:sz w:val="24"/>
                <w:szCs w:val="24"/>
              </w:rPr>
            </w:pPr>
            <w:r>
              <w:rPr>
                <w:rFonts w:ascii="宋体" w:eastAsia="宋体" w:hAnsi="宋体" w:cs="宋体"/>
                <w:b/>
                <w:bCs/>
                <w:spacing w:val="-4"/>
                <w:sz w:val="24"/>
                <w:szCs w:val="24"/>
              </w:rPr>
              <w:t>跟踪时间</w:t>
            </w:r>
          </w:p>
        </w:tc>
        <w:tc>
          <w:tcPr>
            <w:tcW w:w="1649"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471"/>
              <w:textAlignment w:val="baseline"/>
              <w:rPr>
                <w:rFonts w:ascii="宋体" w:eastAsia="宋体" w:hAnsi="宋体" w:cs="宋体"/>
                <w:sz w:val="24"/>
                <w:szCs w:val="24"/>
              </w:rPr>
            </w:pPr>
            <w:r>
              <w:rPr>
                <w:rFonts w:ascii="宋体" w:eastAsia="宋体" w:hAnsi="宋体" w:cs="宋体"/>
                <w:b/>
                <w:bCs/>
                <w:spacing w:val="-6"/>
                <w:sz w:val="24"/>
                <w:szCs w:val="24"/>
              </w:rPr>
              <w:t>成果物</w:t>
            </w:r>
          </w:p>
        </w:tc>
        <w:tc>
          <w:tcPr>
            <w:tcW w:w="1587"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137"/>
              <w:textAlignment w:val="baseline"/>
              <w:rPr>
                <w:rFonts w:ascii="宋体" w:eastAsia="宋体" w:hAnsi="宋体" w:cs="宋体"/>
                <w:sz w:val="24"/>
                <w:szCs w:val="24"/>
              </w:rPr>
            </w:pPr>
            <w:r>
              <w:rPr>
                <w:rFonts w:ascii="宋体" w:eastAsia="宋体" w:hAnsi="宋体" w:cs="宋体"/>
                <w:b/>
                <w:bCs/>
                <w:spacing w:val="-4"/>
                <w:sz w:val="24"/>
                <w:szCs w:val="24"/>
              </w:rPr>
              <w:t>提交人/部门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7" w:right="104" w:hanging="5"/>
              <w:textAlignment w:val="baseline"/>
              <w:rPr>
                <w:rFonts w:ascii="宋体" w:eastAsia="宋体" w:hAnsi="宋体" w:cs="宋体"/>
                <w:sz w:val="24"/>
                <w:szCs w:val="24"/>
              </w:rPr>
            </w:pPr>
            <w:r>
              <w:rPr>
                <w:rFonts w:ascii="宋体" w:eastAsia="宋体" w:hAnsi="宋体" w:cs="宋体"/>
                <w:spacing w:val="-1"/>
                <w:sz w:val="24"/>
                <w:szCs w:val="24"/>
              </w:rPr>
              <w:t>每月对运维业务开展情况以及过程</w:t>
            </w:r>
            <w:r>
              <w:rPr>
                <w:rFonts w:ascii="宋体" w:eastAsia="宋体" w:hAnsi="宋体" w:cs="宋体"/>
                <w:spacing w:val="-8"/>
                <w:sz w:val="24"/>
                <w:szCs w:val="24"/>
              </w:rPr>
              <w:t>管理情况重点工作进行总结，并形成</w:t>
            </w:r>
            <w:r>
              <w:rPr>
                <w:rFonts w:ascii="宋体" w:eastAsia="宋体" w:hAnsi="宋体" w:cs="宋体"/>
                <w:spacing w:val="-7"/>
                <w:sz w:val="24"/>
                <w:szCs w:val="24"/>
              </w:rPr>
              <w:t>月服务报告。</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586"/>
              <w:textAlignment w:val="baseline"/>
              <w:rPr>
                <w:rFonts w:ascii="宋体" w:eastAsia="宋体" w:hAnsi="宋体" w:cs="宋体"/>
                <w:sz w:val="24"/>
                <w:szCs w:val="24"/>
              </w:rPr>
            </w:pPr>
            <w:r>
              <w:rPr>
                <w:rFonts w:ascii="宋体" w:eastAsia="宋体" w:hAnsi="宋体" w:cs="宋体"/>
                <w:spacing w:val="-2"/>
                <w:sz w:val="24"/>
                <w:szCs w:val="24"/>
              </w:rPr>
              <w:t>每月月初</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218" w:lineRule="auto"/>
              <w:ind w:left="236"/>
              <w:textAlignment w:val="baseline"/>
              <w:rPr>
                <w:rFonts w:ascii="宋体" w:eastAsia="宋体" w:hAnsi="宋体" w:cs="宋体"/>
                <w:sz w:val="24"/>
                <w:szCs w:val="24"/>
              </w:rPr>
            </w:pPr>
            <w:r>
              <w:rPr>
                <w:rFonts w:ascii="宋体" w:eastAsia="宋体" w:hAnsi="宋体" w:cs="宋体"/>
                <w:spacing w:val="-3"/>
                <w:sz w:val="24"/>
                <w:szCs w:val="24"/>
              </w:rPr>
              <w:t>月服务报告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00"/>
              <w:textAlignment w:val="baseline"/>
              <w:rPr>
                <w:rFonts w:ascii="宋体" w:eastAsia="宋体" w:hAnsi="宋体" w:cs="宋体" w:hint="eastAsia"/>
                <w:sz w:val="24"/>
                <w:szCs w:val="24"/>
                <w:lang w:eastAsia="zh-CN"/>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2" w:right="103"/>
              <w:textAlignment w:val="baseline"/>
              <w:rPr>
                <w:rFonts w:ascii="宋体" w:eastAsia="宋体" w:hAnsi="宋体" w:cs="宋体"/>
                <w:sz w:val="24"/>
                <w:szCs w:val="24"/>
              </w:rPr>
            </w:pPr>
            <w:r>
              <w:rPr>
                <w:rFonts w:ascii="宋体" w:eastAsia="宋体" w:hAnsi="宋体" w:cs="宋体"/>
                <w:spacing w:val="-1"/>
                <w:sz w:val="24"/>
                <w:szCs w:val="24"/>
              </w:rPr>
              <w:t>每月对年度运维管理计划中规划的</w:t>
            </w:r>
            <w:r>
              <w:rPr>
                <w:rFonts w:ascii="宋体" w:eastAsia="宋体" w:hAnsi="宋体" w:cs="宋体"/>
                <w:spacing w:val="-8"/>
                <w:sz w:val="24"/>
                <w:szCs w:val="24"/>
              </w:rPr>
              <w:t>活动进行检查，对于运维项目规范性</w:t>
            </w:r>
            <w:r>
              <w:rPr>
                <w:rFonts w:ascii="宋体" w:eastAsia="宋体" w:hAnsi="宋体" w:cs="宋体"/>
                <w:spacing w:val="-1"/>
                <w:sz w:val="24"/>
                <w:szCs w:val="24"/>
              </w:rPr>
              <w:t>执行方面，每月进行抽查</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832"/>
              <w:textAlignment w:val="baseline"/>
              <w:rPr>
                <w:rFonts w:ascii="宋体" w:eastAsia="宋体" w:hAnsi="宋体" w:cs="宋体"/>
                <w:sz w:val="24"/>
                <w:szCs w:val="24"/>
              </w:rPr>
            </w:pPr>
            <w:r>
              <w:rPr>
                <w:rFonts w:ascii="宋体" w:eastAsia="宋体" w:hAnsi="宋体" w:cs="宋体"/>
                <w:spacing w:val="-4"/>
                <w:sz w:val="24"/>
                <w:szCs w:val="24"/>
              </w:rPr>
              <w:t>月底</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2" w:line="220" w:lineRule="auto"/>
              <w:ind w:left="230"/>
              <w:textAlignment w:val="baseline"/>
              <w:rPr>
                <w:rFonts w:ascii="宋体" w:eastAsia="宋体" w:hAnsi="宋体" w:cs="宋体"/>
                <w:sz w:val="24"/>
                <w:szCs w:val="24"/>
              </w:rPr>
            </w:pPr>
            <w:r>
              <w:rPr>
                <w:rFonts w:ascii="宋体" w:eastAsia="宋体" w:hAnsi="宋体" w:cs="宋体"/>
                <w:spacing w:val="-2"/>
                <w:sz w:val="24"/>
                <w:szCs w:val="24"/>
              </w:rPr>
              <w:t>运维项目管</w:t>
            </w:r>
            <w:r>
              <w:rPr>
                <w:rFonts w:ascii="宋体" w:eastAsia="宋体" w:hAnsi="宋体" w:cs="宋体"/>
                <w:spacing w:val="-3"/>
                <w:sz w:val="24"/>
                <w:szCs w:val="24"/>
              </w:rPr>
              <w:t>理计划跟踪</w:t>
            </w:r>
            <w:r>
              <w:rPr>
                <w:rFonts w:ascii="宋体" w:eastAsia="宋体" w:hAnsi="宋体" w:cs="宋体"/>
                <w:sz w:val="24"/>
                <w:szCs w:val="24"/>
              </w:rPr>
              <w:t>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00"/>
              <w:textAlignment w:val="baseline"/>
              <w:rPr>
                <w:rFonts w:ascii="宋体" w:eastAsia="宋体" w:hAnsi="宋体" w:cs="宋体"/>
                <w:sz w:val="24"/>
                <w:szCs w:val="24"/>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717"/>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112"/>
              <w:textAlignment w:val="baseline"/>
              <w:rPr>
                <w:rFonts w:ascii="宋体" w:eastAsia="宋体" w:hAnsi="宋体" w:cs="宋体"/>
                <w:sz w:val="24"/>
                <w:szCs w:val="24"/>
              </w:rPr>
            </w:pPr>
            <w:r>
              <w:rPr>
                <w:rFonts w:ascii="宋体" w:eastAsia="宋体" w:hAnsi="宋体" w:cs="宋体"/>
                <w:spacing w:val="-2"/>
                <w:sz w:val="24"/>
                <w:szCs w:val="24"/>
              </w:rPr>
              <w:t>每季度收集运维</w:t>
            </w:r>
            <w:r>
              <w:rPr>
                <w:rFonts w:ascii="宋体" w:eastAsia="宋体" w:hAnsi="宋体" w:cs="宋体"/>
                <w:spacing w:val="-53"/>
                <w:sz w:val="24"/>
                <w:szCs w:val="24"/>
              </w:rPr>
              <w:t xml:space="preserve"> </w:t>
            </w:r>
            <w:r>
              <w:rPr>
                <w:rFonts w:ascii="宋体" w:eastAsia="宋体" w:hAnsi="宋体" w:cs="宋体"/>
                <w:spacing w:val="-2"/>
                <w:sz w:val="24"/>
                <w:szCs w:val="24"/>
              </w:rPr>
              <w:t>KPI</w:t>
            </w:r>
            <w:r>
              <w:rPr>
                <w:rFonts w:ascii="宋体" w:eastAsia="宋体" w:hAnsi="宋体" w:cs="宋体"/>
                <w:spacing w:val="-48"/>
                <w:sz w:val="24"/>
                <w:szCs w:val="24"/>
              </w:rPr>
              <w:t xml:space="preserve"> </w:t>
            </w:r>
            <w:r>
              <w:rPr>
                <w:rFonts w:ascii="宋体" w:eastAsia="宋体" w:hAnsi="宋体" w:cs="宋体"/>
                <w:spacing w:val="-2"/>
                <w:sz w:val="24"/>
                <w:szCs w:val="24"/>
              </w:rPr>
              <w:t>数据</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706"/>
              <w:textAlignment w:val="baseline"/>
              <w:rPr>
                <w:rFonts w:ascii="宋体" w:eastAsia="宋体" w:hAnsi="宋体" w:cs="宋体"/>
                <w:sz w:val="24"/>
                <w:szCs w:val="24"/>
              </w:rPr>
            </w:pPr>
            <w:r>
              <w:rPr>
                <w:rFonts w:ascii="宋体" w:eastAsia="宋体" w:hAnsi="宋体" w:cs="宋体"/>
                <w:spacing w:val="-3"/>
                <w:sz w:val="24"/>
                <w:szCs w:val="24"/>
              </w:rPr>
              <w:t>每季度</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137"/>
              <w:textAlignment w:val="baseline"/>
              <w:rPr>
                <w:rFonts w:ascii="宋体" w:eastAsia="宋体" w:hAnsi="宋体" w:cs="宋体"/>
                <w:sz w:val="24"/>
                <w:szCs w:val="24"/>
              </w:rPr>
            </w:pPr>
            <w:r>
              <w:rPr>
                <w:rFonts w:ascii="宋体" w:eastAsia="宋体" w:hAnsi="宋体" w:cs="宋体"/>
                <w:spacing w:val="-2"/>
                <w:sz w:val="24"/>
                <w:szCs w:val="24"/>
              </w:rPr>
              <w:t>KPI</w:t>
            </w:r>
            <w:r>
              <w:rPr>
                <w:rFonts w:ascii="宋体" w:eastAsia="宋体" w:hAnsi="宋体" w:cs="宋体"/>
                <w:spacing w:val="-49"/>
                <w:sz w:val="24"/>
                <w:szCs w:val="24"/>
              </w:rPr>
              <w:t xml:space="preserve"> </w:t>
            </w:r>
            <w:r>
              <w:rPr>
                <w:rFonts w:ascii="宋体" w:eastAsia="宋体" w:hAnsi="宋体" w:cs="宋体"/>
                <w:spacing w:val="-2"/>
                <w:sz w:val="24"/>
                <w:szCs w:val="24"/>
              </w:rPr>
              <w:t>完成记录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textAlignment w:val="baseline"/>
              <w:rPr>
                <w:rFonts w:ascii="宋体" w:eastAsia="宋体" w:hAnsi="宋体" w:cs="宋体"/>
                <w:sz w:val="24"/>
                <w:szCs w:val="24"/>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1" w:right="103"/>
              <w:jc w:val="both"/>
              <w:textAlignment w:val="baseline"/>
              <w:rPr>
                <w:rFonts w:ascii="宋体" w:eastAsia="宋体" w:hAnsi="宋体" w:cs="宋体"/>
                <w:sz w:val="24"/>
                <w:szCs w:val="24"/>
              </w:rPr>
            </w:pPr>
            <w:r>
              <w:rPr>
                <w:rFonts w:ascii="宋体" w:eastAsia="宋体" w:hAnsi="宋体" w:cs="宋体"/>
                <w:spacing w:val="-8"/>
                <w:sz w:val="24"/>
                <w:szCs w:val="24"/>
              </w:rPr>
              <w:t>对于用户的服务请求处理完毕后，</w:t>
            </w:r>
            <w:r>
              <w:rPr>
                <w:rFonts w:ascii="宋体" w:hAnsi="宋体" w:cs="宋体" w:hint="eastAsia"/>
                <w:spacing w:val="-8"/>
                <w:sz w:val="24"/>
                <w:szCs w:val="24"/>
                <w:lang w:eastAsia="zh-CN"/>
              </w:rPr>
              <w:t>服务台专员</w:t>
            </w:r>
            <w:r>
              <w:rPr>
                <w:rFonts w:ascii="宋体" w:eastAsia="宋体" w:hAnsi="宋体" w:cs="宋体"/>
                <w:spacing w:val="-8"/>
                <w:sz w:val="24"/>
                <w:szCs w:val="24"/>
              </w:rPr>
              <w:t>电话进行回访，调查单次用</w:t>
            </w:r>
            <w:r>
              <w:rPr>
                <w:rFonts w:ascii="宋体" w:eastAsia="宋体" w:hAnsi="宋体" w:cs="宋体"/>
                <w:spacing w:val="-2"/>
                <w:sz w:val="24"/>
                <w:szCs w:val="24"/>
              </w:rPr>
              <w:t>户满意度</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226" w:right="217"/>
              <w:textAlignment w:val="baseline"/>
              <w:rPr>
                <w:rFonts w:ascii="宋体" w:eastAsia="宋体" w:hAnsi="宋体" w:cs="宋体"/>
                <w:sz w:val="24"/>
                <w:szCs w:val="24"/>
              </w:rPr>
            </w:pPr>
            <w:r>
              <w:rPr>
                <w:rFonts w:ascii="宋体" w:eastAsia="宋体" w:hAnsi="宋体" w:cs="宋体"/>
                <w:spacing w:val="-2"/>
                <w:sz w:val="24"/>
                <w:szCs w:val="24"/>
              </w:rPr>
              <w:t>服务请求或事件得到解决关闭前</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589" w:right="217" w:hanging="335"/>
              <w:textAlignment w:val="baseline"/>
              <w:rPr>
                <w:rFonts w:ascii="宋体" w:eastAsia="宋体" w:hAnsi="宋体" w:cs="宋体"/>
                <w:sz w:val="24"/>
                <w:szCs w:val="24"/>
              </w:rPr>
            </w:pPr>
            <w:r>
              <w:rPr>
                <w:rFonts w:ascii="宋体" w:eastAsia="宋体" w:hAnsi="宋体" w:cs="宋体"/>
                <w:spacing w:val="-7"/>
                <w:sz w:val="24"/>
                <w:szCs w:val="24"/>
              </w:rPr>
              <w:t>回访满意度</w:t>
            </w:r>
            <w:r>
              <w:rPr>
                <w:rFonts w:ascii="宋体" w:eastAsia="宋体" w:hAnsi="宋体" w:cs="宋体"/>
                <w:spacing w:val="-3"/>
                <w:sz w:val="24"/>
                <w:szCs w:val="24"/>
              </w:rPr>
              <w:t>记录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right="186"/>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服务台专员</w:t>
            </w:r>
          </w:p>
        </w:tc>
      </w:tr>
      <w:tr>
        <w:tblPrEx>
          <w:tblW w:w="9306" w:type="dxa"/>
          <w:tblInd w:w="5" w:type="dxa"/>
          <w:tblLayout w:type="fixed"/>
          <w:tblCellMar>
            <w:top w:w="0" w:type="dxa"/>
            <w:left w:w="0" w:type="dxa"/>
            <w:bottom w:w="0" w:type="dxa"/>
            <w:right w:w="0" w:type="dxa"/>
          </w:tblCellMar>
        </w:tblPrEx>
        <w:trPr>
          <w:trHeight w:val="1871"/>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36" w:lineRule="auto"/>
              <w:ind w:left="111" w:right="103"/>
              <w:jc w:val="both"/>
              <w:textAlignment w:val="baseline"/>
              <w:rPr>
                <w:rFonts w:ascii="宋体" w:eastAsia="宋体" w:hAnsi="宋体" w:cs="宋体"/>
                <w:sz w:val="24"/>
                <w:szCs w:val="24"/>
              </w:rPr>
            </w:pPr>
            <w:r>
              <w:rPr>
                <w:rFonts w:ascii="宋体" w:eastAsia="宋体" w:hAnsi="宋体" w:cs="宋体"/>
                <w:spacing w:val="-8"/>
                <w:sz w:val="24"/>
                <w:szCs w:val="24"/>
              </w:rPr>
              <w:t>每次服务结束后，客户需要对服务进行评价，并记录在案，现场服务后客户需在现场服务报告单上签字，对值</w:t>
            </w:r>
            <w:r>
              <w:rPr>
                <w:rFonts w:ascii="宋体" w:eastAsia="宋体" w:hAnsi="宋体" w:cs="宋体"/>
                <w:spacing w:val="-1"/>
                <w:sz w:val="24"/>
                <w:szCs w:val="24"/>
              </w:rPr>
              <w:t>班员/检修员进行满意度评分</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28"/>
              <w:textAlignment w:val="baseline"/>
              <w:rPr>
                <w:rFonts w:ascii="宋体" w:eastAsia="宋体" w:hAnsi="宋体" w:cs="宋体"/>
                <w:sz w:val="24"/>
                <w:szCs w:val="24"/>
              </w:rPr>
            </w:pPr>
            <w:r>
              <w:rPr>
                <w:rFonts w:ascii="宋体" w:eastAsia="宋体" w:hAnsi="宋体" w:cs="宋体"/>
                <w:spacing w:val="-2"/>
                <w:sz w:val="24"/>
                <w:szCs w:val="24"/>
              </w:rPr>
              <w:t>现场服务结束后</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218" w:lineRule="auto"/>
              <w:ind w:left="350"/>
              <w:textAlignment w:val="baseline"/>
              <w:rPr>
                <w:rFonts w:ascii="宋体" w:eastAsia="宋体" w:hAnsi="宋体" w:cs="宋体"/>
                <w:sz w:val="24"/>
                <w:szCs w:val="24"/>
              </w:rPr>
            </w:pPr>
            <w:r>
              <w:rPr>
                <w:rFonts w:ascii="宋体" w:eastAsia="宋体" w:hAnsi="宋体" w:cs="宋体"/>
                <w:spacing w:val="-2"/>
                <w:sz w:val="24"/>
                <w:szCs w:val="24"/>
              </w:rPr>
              <w:t>服务报告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688" w:right="126" w:hanging="549"/>
              <w:textAlignment w:val="baseline"/>
              <w:rPr>
                <w:rFonts w:ascii="宋体" w:eastAsia="宋体" w:hAnsi="宋体" w:cs="宋体"/>
                <w:sz w:val="24"/>
                <w:szCs w:val="24"/>
              </w:rPr>
            </w:pPr>
            <w:r>
              <w:rPr>
                <w:rFonts w:ascii="宋体" w:eastAsia="宋体" w:hAnsi="宋体" w:cs="宋体" w:hint="eastAsia"/>
                <w:sz w:val="24"/>
                <w:szCs w:val="24"/>
                <w:lang w:val="en-US" w:eastAsia="zh-CN"/>
              </w:rPr>
              <w:t>服务台专员</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12"/>
              <w:textAlignment w:val="baseline"/>
              <w:rPr>
                <w:rFonts w:ascii="宋体" w:eastAsia="宋体" w:hAnsi="宋体" w:cs="宋体"/>
                <w:sz w:val="24"/>
                <w:szCs w:val="24"/>
              </w:rPr>
            </w:pPr>
            <w:r>
              <w:rPr>
                <w:rFonts w:ascii="宋体" w:eastAsia="宋体" w:hAnsi="宋体" w:cs="宋体"/>
                <w:spacing w:val="-1"/>
                <w:sz w:val="24"/>
                <w:szCs w:val="24"/>
              </w:rPr>
              <w:t>运维部经理对重点客户的拜访</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116" w:line="360" w:lineRule="auto"/>
              <w:ind w:left="230" w:right="145" w:hanging="120"/>
              <w:textAlignment w:val="baseline"/>
              <w:rPr>
                <w:rFonts w:ascii="宋体" w:eastAsia="宋体" w:hAnsi="宋体" w:cs="宋体"/>
                <w:sz w:val="24"/>
                <w:szCs w:val="24"/>
              </w:rPr>
            </w:pPr>
            <w:r>
              <w:rPr>
                <w:rFonts w:ascii="宋体" w:eastAsia="宋体" w:hAnsi="宋体" w:cs="宋体"/>
                <w:spacing w:val="-8"/>
                <w:sz w:val="24"/>
                <w:szCs w:val="24"/>
              </w:rPr>
              <w:t>视项目实际情况，</w:t>
            </w:r>
            <w:r>
              <w:rPr>
                <w:rFonts w:ascii="宋体" w:eastAsia="宋体" w:hAnsi="宋体" w:cs="宋体"/>
                <w:spacing w:val="-2"/>
                <w:sz w:val="24"/>
                <w:szCs w:val="24"/>
              </w:rPr>
              <w:t>与客户商定拜访</w:t>
            </w:r>
          </w:p>
          <w:p>
            <w:pPr>
              <w:keepNext w:val="0"/>
              <w:keepLines w:val="0"/>
              <w:pageBreakBefore w:val="0"/>
              <w:widowControl w:val="0"/>
              <w:kinsoku w:val="0"/>
              <w:wordWrap/>
              <w:overflowPunct/>
              <w:autoSpaceDE w:val="0"/>
              <w:autoSpaceDN w:val="0"/>
              <w:bidi w:val="0"/>
              <w:adjustRightInd w:val="0"/>
              <w:snapToGrid w:val="0"/>
              <w:spacing w:line="221" w:lineRule="auto"/>
              <w:ind w:left="837"/>
              <w:textAlignment w:val="baseline"/>
              <w:rPr>
                <w:rFonts w:ascii="宋体" w:eastAsia="宋体" w:hAnsi="宋体" w:cs="宋体"/>
                <w:sz w:val="24"/>
                <w:szCs w:val="24"/>
              </w:rPr>
            </w:pPr>
            <w:r>
              <w:rPr>
                <w:rFonts w:ascii="宋体" w:eastAsia="宋体" w:hAnsi="宋体" w:cs="宋体"/>
                <w:spacing w:val="-6"/>
                <w:sz w:val="24"/>
                <w:szCs w:val="24"/>
              </w:rPr>
              <w:t>时间</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711" w:right="217" w:hanging="479"/>
              <w:textAlignment w:val="baseline"/>
              <w:rPr>
                <w:rFonts w:ascii="宋体" w:eastAsia="宋体" w:hAnsi="宋体" w:cs="宋体"/>
                <w:sz w:val="24"/>
                <w:szCs w:val="24"/>
              </w:rPr>
            </w:pPr>
            <w:r>
              <w:rPr>
                <w:rFonts w:ascii="宋体" w:eastAsia="宋体" w:hAnsi="宋体" w:cs="宋体"/>
                <w:spacing w:val="-3"/>
                <w:sz w:val="24"/>
                <w:szCs w:val="24"/>
              </w:rPr>
              <w:t>客户拜访记</w:t>
            </w:r>
            <w:r>
              <w:rPr>
                <w:rFonts w:ascii="宋体" w:eastAsia="宋体" w:hAnsi="宋体" w:cs="宋体"/>
                <w:sz w:val="24"/>
                <w:szCs w:val="24"/>
              </w:rPr>
              <w:t>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99"/>
              <w:textAlignment w:val="baseline"/>
              <w:rPr>
                <w:rFonts w:ascii="宋体" w:eastAsia="宋体" w:hAnsi="宋体" w:cs="宋体"/>
                <w:sz w:val="24"/>
                <w:szCs w:val="24"/>
              </w:rPr>
            </w:pPr>
            <w:r>
              <w:rPr>
                <w:rFonts w:ascii="宋体" w:eastAsia="宋体" w:hAnsi="宋体" w:cs="宋体"/>
                <w:spacing w:val="-2"/>
                <w:sz w:val="24"/>
                <w:szCs w:val="24"/>
              </w:rPr>
              <w:t>运维部经理</w:t>
            </w:r>
          </w:p>
        </w:tc>
      </w:tr>
      <w:tr>
        <w:tblPrEx>
          <w:tblW w:w="9306" w:type="dxa"/>
          <w:tblInd w:w="5" w:type="dxa"/>
          <w:tblLayout w:type="fixed"/>
          <w:tblCellMar>
            <w:top w:w="0" w:type="dxa"/>
            <w:left w:w="0" w:type="dxa"/>
            <w:bottom w:w="0" w:type="dxa"/>
            <w:right w:w="0" w:type="dxa"/>
          </w:tblCellMar>
        </w:tblPrEx>
        <w:trPr>
          <w:trHeight w:val="935"/>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116" w:right="104" w:hanging="1"/>
              <w:textAlignment w:val="baseline"/>
              <w:rPr>
                <w:rFonts w:ascii="宋体" w:eastAsia="宋体" w:hAnsi="宋体" w:cs="宋体"/>
                <w:sz w:val="24"/>
                <w:szCs w:val="24"/>
              </w:rPr>
            </w:pPr>
            <w:r>
              <w:rPr>
                <w:rFonts w:ascii="宋体" w:eastAsia="宋体" w:hAnsi="宋体" w:cs="宋体"/>
                <w:spacing w:val="-8"/>
                <w:sz w:val="24"/>
                <w:szCs w:val="24"/>
              </w:rPr>
              <w:t>各专业开展用户满意度调查，并对结</w:t>
            </w:r>
            <w:r>
              <w:rPr>
                <w:rFonts w:ascii="宋体" w:eastAsia="宋体" w:hAnsi="宋体" w:cs="宋体"/>
                <w:spacing w:val="-3"/>
                <w:sz w:val="24"/>
                <w:szCs w:val="24"/>
              </w:rPr>
              <w:t>果进行分析</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586"/>
              <w:textAlignment w:val="baseline"/>
              <w:rPr>
                <w:rFonts w:ascii="宋体" w:eastAsia="宋体" w:hAnsi="宋体" w:cs="宋体"/>
                <w:sz w:val="24"/>
                <w:szCs w:val="24"/>
              </w:rPr>
            </w:pPr>
            <w:r>
              <w:rPr>
                <w:rFonts w:ascii="宋体" w:eastAsia="宋体" w:hAnsi="宋体" w:cs="宋体"/>
                <w:spacing w:val="-3"/>
                <w:sz w:val="24"/>
                <w:szCs w:val="24"/>
              </w:rPr>
              <w:t>每月一次</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709" w:right="217" w:hanging="479"/>
              <w:textAlignment w:val="baseline"/>
              <w:rPr>
                <w:rFonts w:ascii="宋体" w:eastAsia="宋体" w:hAnsi="宋体" w:cs="宋体"/>
                <w:sz w:val="24"/>
                <w:szCs w:val="24"/>
              </w:rPr>
            </w:pPr>
            <w:r>
              <w:rPr>
                <w:rFonts w:ascii="宋体" w:eastAsia="宋体" w:hAnsi="宋体" w:cs="宋体"/>
                <w:spacing w:val="-2"/>
                <w:sz w:val="24"/>
                <w:szCs w:val="24"/>
              </w:rPr>
              <w:t>满意度调查</w:t>
            </w:r>
            <w:r>
              <w:rPr>
                <w:rFonts w:ascii="宋体" w:eastAsia="宋体" w:hAnsi="宋体" w:cs="宋体"/>
                <w:sz w:val="24"/>
                <w:szCs w:val="24"/>
              </w:rPr>
              <w:t>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448" w:right="186" w:hanging="248"/>
              <w:textAlignment w:val="baseline"/>
              <w:rPr>
                <w:rFonts w:ascii="宋体" w:eastAsia="宋体" w:hAnsi="宋体" w:cs="宋体" w:hint="eastAsia"/>
                <w:sz w:val="24"/>
                <w:szCs w:val="24"/>
                <w:lang w:val="en-US" w:eastAsia="zh-CN"/>
              </w:rPr>
            </w:pPr>
            <w:r>
              <w:rPr>
                <w:rFonts w:ascii="宋体" w:eastAsia="宋体" w:hAnsi="宋体" w:cs="宋体"/>
                <w:spacing w:val="-3"/>
                <w:sz w:val="24"/>
                <w:szCs w:val="24"/>
              </w:rPr>
              <w:t>质量部经理</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12"/>
              <w:textAlignment w:val="baseline"/>
              <w:rPr>
                <w:rFonts w:ascii="宋体" w:eastAsia="宋体" w:hAnsi="宋体" w:cs="宋体" w:hint="eastAsia"/>
                <w:sz w:val="24"/>
                <w:szCs w:val="24"/>
                <w:lang w:val="en-US" w:eastAsia="zh-CN"/>
              </w:rPr>
            </w:pPr>
            <w:r>
              <w:rPr>
                <w:rFonts w:ascii="宋体" w:eastAsia="宋体" w:hAnsi="宋体" w:cs="宋体"/>
                <w:spacing w:val="-1"/>
                <w:sz w:val="24"/>
                <w:szCs w:val="24"/>
              </w:rPr>
              <w:t>满意度调查分析汇总</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706"/>
              <w:textAlignment w:val="baseline"/>
              <w:rPr>
                <w:rFonts w:ascii="宋体" w:eastAsia="宋体" w:hAnsi="宋体" w:cs="宋体"/>
                <w:sz w:val="24"/>
                <w:szCs w:val="24"/>
              </w:rPr>
            </w:pPr>
            <w:r>
              <w:rPr>
                <w:rFonts w:ascii="宋体" w:eastAsia="宋体" w:hAnsi="宋体" w:cs="宋体"/>
                <w:spacing w:val="-3"/>
                <w:sz w:val="24"/>
                <w:szCs w:val="24"/>
              </w:rPr>
              <w:t>每季度</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8" w:line="220" w:lineRule="auto"/>
              <w:ind w:left="232"/>
              <w:textAlignment w:val="baseline"/>
              <w:rPr>
                <w:rFonts w:ascii="宋体" w:eastAsia="宋体" w:hAnsi="宋体" w:cs="宋体"/>
                <w:sz w:val="24"/>
                <w:szCs w:val="24"/>
              </w:rPr>
            </w:pPr>
            <w:r>
              <w:rPr>
                <w:rFonts w:ascii="宋体" w:eastAsia="宋体" w:hAnsi="宋体" w:cs="宋体"/>
                <w:spacing w:val="-2"/>
                <w:sz w:val="24"/>
                <w:szCs w:val="24"/>
              </w:rPr>
              <w:t>客户满意度</w:t>
            </w:r>
          </w:p>
          <w:p>
            <w:pPr>
              <w:keepNext w:val="0"/>
              <w:keepLines w:val="0"/>
              <w:pageBreakBefore w:val="0"/>
              <w:widowControl w:val="0"/>
              <w:kinsoku w:val="0"/>
              <w:wordWrap/>
              <w:overflowPunct/>
              <w:autoSpaceDE w:val="0"/>
              <w:autoSpaceDN w:val="0"/>
              <w:bidi w:val="0"/>
              <w:adjustRightInd w:val="0"/>
              <w:snapToGrid w:val="0"/>
              <w:spacing w:before="182" w:line="310" w:lineRule="auto"/>
              <w:ind w:left="715" w:right="217" w:hanging="483"/>
              <w:textAlignment w:val="baseline"/>
              <w:rPr>
                <w:rFonts w:ascii="宋体" w:eastAsia="宋体" w:hAnsi="宋体" w:cs="宋体"/>
                <w:sz w:val="24"/>
                <w:szCs w:val="24"/>
              </w:rPr>
            </w:pPr>
            <w:r>
              <w:rPr>
                <w:rFonts w:ascii="宋体" w:eastAsia="宋体" w:hAnsi="宋体" w:cs="宋体"/>
                <w:spacing w:val="-3"/>
                <w:sz w:val="24"/>
                <w:szCs w:val="24"/>
              </w:rPr>
              <w:t>调查分析报</w:t>
            </w:r>
            <w:r>
              <w:rPr>
                <w:rFonts w:ascii="宋体" w:eastAsia="宋体" w:hAnsi="宋体" w:cs="宋体"/>
                <w:sz w:val="24"/>
                <w:szCs w:val="24"/>
              </w:rPr>
              <w:t>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448" w:right="186" w:hanging="248"/>
              <w:textAlignment w:val="baseline"/>
              <w:rPr>
                <w:rFonts w:ascii="宋体" w:eastAsia="宋体" w:hAnsi="宋体" w:cs="宋体"/>
                <w:sz w:val="24"/>
                <w:szCs w:val="24"/>
              </w:rPr>
            </w:pPr>
            <w:r>
              <w:rPr>
                <w:rFonts w:ascii="宋体" w:eastAsia="宋体" w:hAnsi="宋体" w:cs="宋体"/>
                <w:spacing w:val="-3"/>
                <w:sz w:val="24"/>
                <w:szCs w:val="24"/>
              </w:rPr>
              <w:t>质量部经理</w:t>
            </w:r>
          </w:p>
        </w:tc>
      </w:tr>
      <w:tr>
        <w:tblPrEx>
          <w:tblW w:w="9306" w:type="dxa"/>
          <w:tblInd w:w="5" w:type="dxa"/>
          <w:tblLayout w:type="fixed"/>
          <w:tblCellMar>
            <w:top w:w="0" w:type="dxa"/>
            <w:left w:w="0" w:type="dxa"/>
            <w:bottom w:w="0" w:type="dxa"/>
            <w:right w:w="0" w:type="dxa"/>
          </w:tblCellMar>
        </w:tblPrEx>
        <w:trPr>
          <w:trHeight w:val="1408"/>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114" w:right="104"/>
              <w:textAlignment w:val="baseline"/>
              <w:rPr>
                <w:rFonts w:ascii="宋体" w:eastAsia="宋体" w:hAnsi="宋体" w:cs="宋体"/>
                <w:sz w:val="24"/>
                <w:szCs w:val="24"/>
              </w:rPr>
            </w:pPr>
            <w:r>
              <w:rPr>
                <w:rFonts w:ascii="宋体" w:eastAsia="宋体" w:hAnsi="宋体" w:cs="宋体"/>
                <w:spacing w:val="-9"/>
                <w:sz w:val="24"/>
                <w:szCs w:val="24"/>
              </w:rPr>
              <w:t>调查SLA达成率是否能够满足，并尽</w:t>
            </w:r>
            <w:r>
              <w:rPr>
                <w:rFonts w:ascii="宋体" w:eastAsia="宋体" w:hAnsi="宋体" w:cs="宋体"/>
                <w:spacing w:val="-2"/>
                <w:sz w:val="24"/>
                <w:szCs w:val="24"/>
              </w:rPr>
              <w:t>可能挖掘新的服务</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346" w:right="217" w:hanging="122"/>
              <w:textAlignment w:val="baseline"/>
              <w:rPr>
                <w:rFonts w:ascii="宋体" w:eastAsia="宋体" w:hAnsi="宋体" w:cs="宋体"/>
                <w:sz w:val="24"/>
                <w:szCs w:val="24"/>
              </w:rPr>
            </w:pPr>
            <w:r>
              <w:rPr>
                <w:rFonts w:ascii="宋体" w:eastAsia="宋体" w:hAnsi="宋体" w:cs="宋体"/>
                <w:spacing w:val="-2"/>
                <w:sz w:val="24"/>
                <w:szCs w:val="24"/>
              </w:rPr>
              <w:t>进行满意度调查和拜访用户时</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600" w:right="217" w:hanging="368"/>
              <w:textAlignment w:val="baseline"/>
              <w:rPr>
                <w:rFonts w:ascii="宋体" w:eastAsia="宋体" w:hAnsi="宋体" w:cs="宋体"/>
                <w:sz w:val="24"/>
                <w:szCs w:val="24"/>
              </w:rPr>
            </w:pPr>
            <w:r>
              <w:rPr>
                <w:rFonts w:ascii="宋体" w:eastAsia="宋体" w:hAnsi="宋体" w:cs="宋体"/>
                <w:spacing w:val="-3"/>
                <w:sz w:val="24"/>
                <w:szCs w:val="24"/>
              </w:rPr>
              <w:t>客户反馈信</w:t>
            </w:r>
            <w:r>
              <w:rPr>
                <w:rFonts w:ascii="宋体" w:eastAsia="宋体" w:hAnsi="宋体" w:cs="宋体"/>
                <w:spacing w:val="-5"/>
                <w:sz w:val="24"/>
                <w:szCs w:val="24"/>
              </w:rPr>
              <w:t>息表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181" w:line="312" w:lineRule="auto"/>
              <w:ind w:left="680" w:right="186" w:hanging="480"/>
              <w:textAlignment w:val="baseline"/>
              <w:rPr>
                <w:rFonts w:ascii="宋体" w:eastAsia="宋体" w:hAnsi="宋体" w:cs="宋体" w:hint="default"/>
                <w:sz w:val="24"/>
                <w:szCs w:val="24"/>
                <w:lang w:val="en-US" w:eastAsia="zh-CN"/>
              </w:rPr>
            </w:pPr>
            <w:r>
              <w:rPr>
                <w:rFonts w:ascii="宋体" w:eastAsia="宋体" w:hAnsi="宋体" w:cs="宋体" w:hint="eastAsia"/>
                <w:spacing w:val="-2"/>
                <w:sz w:val="24"/>
                <w:szCs w:val="24"/>
                <w:lang w:val="en-US" w:eastAsia="zh-CN"/>
              </w:rPr>
              <w:t>运维部经理</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1" w:name="bookmark3"/>
      <w:bookmarkEnd w:id="31"/>
      <w:bookmarkStart w:id="32" w:name="_Toc17424"/>
      <w:bookmarkStart w:id="33" w:name="_Toc23653"/>
      <w:r>
        <w:rPr>
          <w:rStyle w:val="1Char"/>
          <w:rFonts w:eastAsia="宋体" w:hint="eastAsia"/>
          <w:lang w:val="en-US" w:eastAsia="zh-CN"/>
        </w:rPr>
        <w:t>附则</w:t>
      </w:r>
      <w:bookmarkEnd w:id="32"/>
      <w:bookmarkEnd w:id="33"/>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bookmark14"/>
      <w:bookmarkEnd w:id="34"/>
      <w:bookmarkStart w:id="35" w:name="_Toc14808"/>
      <w:r>
        <w:rPr>
          <w:rFonts w:hint="eastAsia"/>
          <w:lang w:val="en-US" w:eastAsia="zh-CN"/>
        </w:rPr>
        <w:t>附件</w:t>
      </w:r>
      <w:bookmarkEnd w:id="35"/>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《内部审核检查表》</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《纠正与预防措施报告》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《服务质量保证计划》（模板）</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《客户满意度调查表》</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6" w:name="_Toc26600"/>
      <w:r>
        <w:rPr>
          <w:rFonts w:hint="eastAsia"/>
          <w:lang w:val="en-US" w:eastAsia="zh-CN"/>
        </w:rPr>
        <w:t>记录</w:t>
      </w:r>
      <w:bookmarkEnd w:id="36"/>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《内部审核报告》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《管理评审报告》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《月度/季度质量分析报告》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《客户满意度调查分析报告》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《客户拜访记录表》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所有记录由质量部统一归档，保存期限不少于3年。</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586E705"/>
    <w:multiLevelType w:val="singleLevel"/>
    <w:tmpl w:val="8586E705"/>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701F65D"/>
    <w:multiLevelType w:val="singleLevel"/>
    <w:tmpl w:val="9701F65D"/>
    <w:lvl w:ilvl="0">
      <w:start w:val="1"/>
      <w:numFmt w:val="decimal"/>
      <w:lvlText w:val="%1."/>
      <w:lvlJc w:val="left"/>
      <w:pPr>
        <w:ind w:left="425" w:hanging="425"/>
      </w:pPr>
      <w:rPr>
        <w:rFonts w:hint="default"/>
      </w:rPr>
    </w:lvl>
  </w:abstractNum>
  <w:abstractNum w:abstractNumId="3">
    <w:nsid w:val="976136C6"/>
    <w:multiLevelType w:val="singleLevel"/>
    <w:tmpl w:val="976136C6"/>
    <w:lvl w:ilvl="0">
      <w:start w:val="1"/>
      <w:numFmt w:val="decimal"/>
      <w:lvlText w:val="%1."/>
      <w:lvlJc w:val="left"/>
      <w:pPr>
        <w:ind w:left="425" w:hanging="425"/>
      </w:pPr>
      <w:rPr>
        <w:rFonts w:hint="default"/>
      </w:rPr>
    </w:lvl>
  </w:abstractNum>
  <w:abstractNum w:abstractNumId="4">
    <w:nsid w:val="D90276AA"/>
    <w:multiLevelType w:val="singleLevel"/>
    <w:tmpl w:val="D90276AA"/>
    <w:lvl w:ilvl="0">
      <w:start w:val="1"/>
      <w:numFmt w:val="decimal"/>
      <w:lvlText w:val="%1."/>
      <w:lvlJc w:val="left"/>
      <w:pPr>
        <w:ind w:left="425" w:hanging="425"/>
      </w:pPr>
      <w:rPr>
        <w:rFonts w:hint="default"/>
      </w:rPr>
    </w:lvl>
  </w:abstractNum>
  <w:abstractNum w:abstractNumId="5">
    <w:nsid w:val="F9539CF3"/>
    <w:multiLevelType w:val="singleLevel"/>
    <w:tmpl w:val="F9539CF3"/>
    <w:lvl w:ilvl="0">
      <w:start w:val="1"/>
      <w:numFmt w:val="decimal"/>
      <w:lvlText w:val="%1."/>
      <w:lvlJc w:val="left"/>
      <w:pPr>
        <w:ind w:left="425" w:hanging="425"/>
      </w:pPr>
      <w:rPr>
        <w:rFonts w:hint="default"/>
      </w:rPr>
    </w:lvl>
  </w:abstractNum>
  <w:abstractNum w:abstractNumId="6">
    <w:nsid w:val="051FF8A0"/>
    <w:multiLevelType w:val="singleLevel"/>
    <w:tmpl w:val="051FF8A0"/>
    <w:lvl w:ilvl="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321</Words>
  <Characters>484</Characters>
  <Application>Microsoft Office Word</Application>
  <DocSecurity>0</DocSecurity>
  <Lines>0</Lines>
  <Paragraphs>0</Paragraphs>
  <ScaleCrop>false</ScaleCrop>
  <Company/>
  <LinksUpToDate>false</LinksUpToDate>
  <CharactersWithSpaces>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2026-01-11T15:15:34Z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