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574"/>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547"/>
      <w:r>
        <w:rPr>
          <w:rFonts w:hint="eastAsia"/>
          <w:lang w:val="en-US" w:eastAsia="zh-CN"/>
        </w:rPr>
        <w:t>运维服务投诉管理制度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_Toc22574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_Toc22574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_Toc25547 </w:instrText>
          </w:r>
          <w:r>
            <w:rPr>
              <w:rFonts w:ascii="宋体" w:eastAsia="宋体" w:hAnsi="宋体" w:cs="宋体" w:hint="eastAsia"/>
              <w:szCs w:val="24"/>
            </w:rPr>
            <w:fldChar w:fldCharType="separate"/>
          </w:r>
          <w:r>
            <w:rPr>
              <w:rFonts w:hint="eastAsia"/>
              <w:lang w:val="en-US" w:eastAsia="zh-CN"/>
            </w:rPr>
            <w:t>运维服务投诉管理制度</w:t>
          </w:r>
          <w:r>
            <w:tab/>
          </w:r>
          <w:r>
            <w:fldChar w:fldCharType="begin"/>
          </w:r>
          <w:r>
            <w:instrText xml:space="preserve"> PAGEREF _Toc25547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_Toc6963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_Toc6963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_Toc24116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_Toc24116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_Toc12726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_Toc12726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_Toc6412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_Toc6412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_Toc22314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_Toc22314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_Toc13153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服务台专员</w:t>
          </w:r>
          <w:r>
            <w:tab/>
          </w:r>
          <w:r>
            <w:fldChar w:fldCharType="begin"/>
          </w:r>
          <w:r>
            <w:instrText xml:space="preserve"> PAGEREF _Toc13153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_Toc16954 </w:instrText>
          </w:r>
          <w:r>
            <w:rPr>
              <w:rFonts w:ascii="宋体" w:eastAsia="宋体" w:hAnsi="宋体" w:cs="宋体" w:hint="eastAsia"/>
              <w:szCs w:val="24"/>
            </w:rPr>
            <w:fldChar w:fldCharType="separate"/>
          </w:r>
          <w:r>
            <w:rPr>
              <w:rFonts w:hint="default"/>
              <w:lang w:val="en-US" w:eastAsia="zh-CN"/>
            </w:rPr>
            <w:t>1.4.2. 运维部</w:t>
          </w:r>
          <w:r>
            <w:tab/>
          </w:r>
          <w:r>
            <w:fldChar w:fldCharType="begin"/>
          </w:r>
          <w:r>
            <w:instrText xml:space="preserve"> PAGEREF _Toc16954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_Toc13729 </w:instrText>
          </w:r>
          <w:r>
            <w:rPr>
              <w:rFonts w:ascii="宋体" w:eastAsia="宋体" w:hAnsi="宋体" w:cs="宋体" w:hint="eastAsia"/>
              <w:szCs w:val="24"/>
            </w:rPr>
            <w:fldChar w:fldCharType="separate"/>
          </w:r>
          <w:r>
            <w:rPr>
              <w:rFonts w:hint="default"/>
              <w:lang w:val="en-US" w:eastAsia="zh-CN"/>
            </w:rPr>
            <w:t>1.4.3. 质量部</w:t>
          </w:r>
          <w:r>
            <w:tab/>
          </w:r>
          <w:r>
            <w:fldChar w:fldCharType="begin"/>
          </w:r>
          <w:r>
            <w:instrText xml:space="preserve"> PAGEREF _Toc13729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_Toc7243 </w:instrText>
          </w:r>
          <w:r>
            <w:rPr>
              <w:rFonts w:ascii="宋体" w:eastAsia="宋体" w:hAnsi="宋体" w:cs="宋体" w:hint="eastAsia"/>
              <w:szCs w:val="24"/>
            </w:rPr>
            <w:fldChar w:fldCharType="separate"/>
          </w:r>
          <w:r>
            <w:rPr>
              <w:rFonts w:hint="default"/>
              <w:lang w:val="en-US" w:eastAsia="zh-CN"/>
            </w:rPr>
            <w:t>1.4.4. 管理者代表</w:t>
          </w:r>
          <w:r>
            <w:tab/>
          </w:r>
          <w:r>
            <w:fldChar w:fldCharType="begin"/>
          </w:r>
          <w:r>
            <w:instrText xml:space="preserve"> PAGEREF _Toc7243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_Toc928 </w:instrText>
          </w:r>
          <w:r>
            <w:rPr>
              <w:rFonts w:ascii="宋体" w:eastAsia="宋体" w:hAnsi="宋体" w:cs="宋体" w:hint="eastAsia"/>
              <w:szCs w:val="24"/>
            </w:rPr>
            <w:fldChar w:fldCharType="separate"/>
          </w:r>
          <w:r>
            <w:rPr>
              <w:rFonts w:hint="default"/>
              <w:lang w:val="en-US" w:eastAsia="zh-CN"/>
            </w:rPr>
            <w:t>1.4.5. 各相关部门</w:t>
          </w:r>
          <w:r>
            <w:tab/>
          </w:r>
          <w:r>
            <w:fldChar w:fldCharType="begin"/>
          </w:r>
          <w:r>
            <w:instrText xml:space="preserve"> PAGEREF _Toc928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_Toc8662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_Toc8662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_Toc6150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_Toc6150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_Toc6830 </w:instrText>
          </w:r>
          <w:r>
            <w:rPr>
              <w:rFonts w:ascii="宋体" w:eastAsia="宋体" w:hAnsi="宋体" w:cs="宋体" w:hint="eastAsia"/>
              <w:szCs w:val="24"/>
            </w:rPr>
            <w:fldChar w:fldCharType="separate"/>
          </w:r>
          <w:r>
            <w:rPr>
              <w:rFonts w:hint="default"/>
            </w:rPr>
            <w:t xml:space="preserve">3.1. </w:t>
          </w:r>
          <w:r>
            <w:rPr>
              <w:rFonts w:hint="eastAsia"/>
            </w:rPr>
            <w:t>客户投诉</w:t>
          </w:r>
          <w:r>
            <w:tab/>
          </w:r>
          <w:r>
            <w:fldChar w:fldCharType="begin"/>
          </w:r>
          <w:r>
            <w:instrText xml:space="preserve"> PAGEREF _Toc6830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_Toc7163 </w:instrText>
          </w:r>
          <w:r>
            <w:rPr>
              <w:rFonts w:ascii="宋体" w:eastAsia="宋体" w:hAnsi="宋体" w:cs="宋体" w:hint="eastAsia"/>
              <w:szCs w:val="24"/>
            </w:rPr>
            <w:fldChar w:fldCharType="separate"/>
          </w:r>
          <w:r>
            <w:rPr>
              <w:rFonts w:hint="default"/>
            </w:rPr>
            <w:t xml:space="preserve">3.2. </w:t>
          </w:r>
          <w:r>
            <w:rPr>
              <w:rFonts w:hint="eastAsia"/>
            </w:rPr>
            <w:t>投诉升级</w:t>
          </w:r>
          <w:r>
            <w:tab/>
          </w:r>
          <w:r>
            <w:fldChar w:fldCharType="begin"/>
          </w:r>
          <w:r>
            <w:instrText xml:space="preserve"> PAGEREF _Toc7163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_Toc4473 </w:instrText>
          </w:r>
          <w:r>
            <w:rPr>
              <w:rFonts w:ascii="宋体" w:eastAsia="宋体" w:hAnsi="宋体" w:cs="宋体" w:hint="eastAsia"/>
              <w:szCs w:val="24"/>
            </w:rPr>
            <w:fldChar w:fldCharType="separate"/>
          </w:r>
          <w:r>
            <w:rPr>
              <w:rFonts w:hint="default"/>
            </w:rPr>
            <w:t xml:space="preserve">3.3. </w:t>
          </w:r>
          <w:r>
            <w:rPr>
              <w:rFonts w:hint="eastAsia"/>
            </w:rPr>
            <w:t>投诉关闭</w:t>
          </w:r>
          <w:r>
            <w:tab/>
          </w:r>
          <w:r>
            <w:fldChar w:fldCharType="begin"/>
          </w:r>
          <w:r>
            <w:instrText xml:space="preserve"> PAGEREF _Toc4473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_Toc17726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_Toc17726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_Toc11232 </w:instrText>
          </w:r>
          <w:r>
            <w:rPr>
              <w:rFonts w:ascii="宋体" w:eastAsia="宋体" w:hAnsi="宋体" w:cs="宋体" w:hint="eastAsia"/>
              <w:szCs w:val="24"/>
            </w:rPr>
            <w:fldChar w:fldCharType="separate"/>
          </w:r>
          <w:r>
            <w:rPr>
              <w:rFonts w:hint="default"/>
              <w:lang w:val="en-US" w:eastAsia="zh-CN"/>
            </w:rPr>
            <w:t>4.1. 投诉受理</w:t>
          </w:r>
          <w:r>
            <w:tab/>
          </w:r>
          <w:r>
            <w:fldChar w:fldCharType="begin"/>
          </w:r>
          <w:r>
            <w:instrText xml:space="preserve"> PAGEREF _Toc11232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_Toc30234 </w:instrText>
          </w:r>
          <w:r>
            <w:rPr>
              <w:rFonts w:ascii="宋体" w:eastAsia="宋体" w:hAnsi="宋体" w:cs="宋体" w:hint="eastAsia"/>
              <w:szCs w:val="24"/>
            </w:rPr>
            <w:fldChar w:fldCharType="separate"/>
          </w:r>
          <w:r>
            <w:rPr>
              <w:rFonts w:hint="default"/>
              <w:lang w:val="en-US" w:eastAsia="zh-CN"/>
            </w:rPr>
            <w:t>4.1.1. 投诉渠道</w:t>
          </w:r>
          <w:r>
            <w:tab/>
          </w:r>
          <w:r>
            <w:fldChar w:fldCharType="begin"/>
          </w:r>
          <w:r>
            <w:instrText xml:space="preserve"> PAGEREF _Toc30234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_Toc20796 </w:instrText>
          </w:r>
          <w:r>
            <w:rPr>
              <w:rFonts w:ascii="宋体" w:eastAsia="宋体" w:hAnsi="宋体" w:cs="宋体" w:hint="eastAsia"/>
              <w:szCs w:val="24"/>
            </w:rPr>
            <w:fldChar w:fldCharType="separate"/>
          </w:r>
          <w:r>
            <w:rPr>
              <w:rFonts w:hint="default"/>
              <w:lang w:val="en-US" w:eastAsia="zh-CN"/>
            </w:rPr>
            <w:t>4.1.2. 投诉登记</w:t>
          </w:r>
          <w:r>
            <w:tab/>
          </w:r>
          <w:r>
            <w:fldChar w:fldCharType="begin"/>
          </w:r>
          <w:r>
            <w:instrText xml:space="preserve"> PAGEREF _Toc20796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_Toc13776 </w:instrText>
          </w:r>
          <w:r>
            <w:rPr>
              <w:rFonts w:ascii="宋体" w:eastAsia="宋体" w:hAnsi="宋体" w:cs="宋体" w:hint="eastAsia"/>
              <w:szCs w:val="24"/>
            </w:rPr>
            <w:fldChar w:fldCharType="separate"/>
          </w:r>
          <w:r>
            <w:rPr>
              <w:rFonts w:hint="default"/>
              <w:lang w:val="en-US" w:eastAsia="zh-CN"/>
            </w:rPr>
            <w:t>4.2. 投诉分类与处理时限</w:t>
          </w:r>
          <w:r>
            <w:tab/>
          </w:r>
          <w:r>
            <w:fldChar w:fldCharType="begin"/>
          </w:r>
          <w:r>
            <w:instrText xml:space="preserve"> PAGEREF _Toc13776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_Toc31704 </w:instrText>
          </w:r>
          <w:r>
            <w:rPr>
              <w:rFonts w:ascii="宋体" w:eastAsia="宋体" w:hAnsi="宋体" w:cs="宋体" w:hint="eastAsia"/>
              <w:szCs w:val="24"/>
            </w:rPr>
            <w:fldChar w:fldCharType="separate"/>
          </w:r>
          <w:r>
            <w:rPr>
              <w:rFonts w:hint="default"/>
              <w:lang w:val="en-US" w:eastAsia="zh-CN"/>
            </w:rPr>
            <w:t>4.2.1. 投诉分类</w:t>
          </w:r>
          <w:r>
            <w:tab/>
          </w:r>
          <w:r>
            <w:fldChar w:fldCharType="begin"/>
          </w:r>
          <w:r>
            <w:instrText xml:space="preserve"> PAGEREF _Toc31704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_Toc3432 </w:instrText>
          </w:r>
          <w:r>
            <w:rPr>
              <w:rFonts w:ascii="宋体" w:eastAsia="宋体" w:hAnsi="宋体" w:cs="宋体" w:hint="eastAsia"/>
              <w:szCs w:val="24"/>
            </w:rPr>
            <w:fldChar w:fldCharType="separate"/>
          </w:r>
          <w:r>
            <w:rPr>
              <w:rFonts w:hint="default"/>
              <w:lang w:val="en-US" w:eastAsia="zh-CN"/>
            </w:rPr>
            <w:t xml:space="preserve">4.2.2. </w:t>
          </w:r>
          <w:r>
            <w:rPr>
              <w:rFonts w:hint="eastAsia"/>
              <w:lang w:val="en-US" w:eastAsia="zh-CN"/>
            </w:rPr>
            <w:t>投诉分发</w:t>
          </w:r>
          <w:r>
            <w:tab/>
          </w:r>
          <w:r>
            <w:fldChar w:fldCharType="begin"/>
          </w:r>
          <w:r>
            <w:instrText xml:space="preserve"> PAGEREF _Toc3432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_Toc12531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投诉处理流程</w:t>
          </w:r>
          <w:r>
            <w:tab/>
          </w:r>
          <w:r>
            <w:fldChar w:fldCharType="begin"/>
          </w:r>
          <w:r>
            <w:instrText xml:space="preserve"> PAGEREF _Toc12531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_Toc29712 </w:instrText>
          </w:r>
          <w:r>
            <w:rPr>
              <w:rFonts w:ascii="宋体" w:eastAsia="宋体" w:hAnsi="宋体" w:cs="宋体" w:hint="eastAsia"/>
              <w:szCs w:val="24"/>
            </w:rPr>
            <w:fldChar w:fldCharType="separate"/>
          </w:r>
          <w:r>
            <w:rPr>
              <w:rFonts w:hint="default"/>
              <w:lang w:val="en-US" w:eastAsia="zh-CN"/>
            </w:rPr>
            <w:t xml:space="preserve">4.3.1. </w:t>
          </w:r>
          <w:r>
            <w:rPr>
              <w:rFonts w:hint="eastAsia"/>
              <w:lang w:val="en-US" w:eastAsia="zh-CN"/>
            </w:rPr>
            <w:t>初步响应</w:t>
          </w:r>
          <w:r>
            <w:tab/>
          </w:r>
          <w:r>
            <w:fldChar w:fldCharType="begin"/>
          </w:r>
          <w:r>
            <w:instrText xml:space="preserve"> PAGEREF _Toc29712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_Toc15916 </w:instrText>
          </w:r>
          <w:r>
            <w:rPr>
              <w:rFonts w:ascii="宋体" w:eastAsia="宋体" w:hAnsi="宋体" w:cs="宋体" w:hint="eastAsia"/>
              <w:szCs w:val="24"/>
            </w:rPr>
            <w:fldChar w:fldCharType="separate"/>
          </w:r>
          <w:r>
            <w:rPr>
              <w:rFonts w:hint="default"/>
              <w:lang w:val="en-US" w:eastAsia="zh-CN"/>
            </w:rPr>
            <w:t xml:space="preserve">4.3.2. </w:t>
          </w:r>
          <w:r>
            <w:rPr>
              <w:rFonts w:hint="eastAsia"/>
              <w:lang w:val="en-US" w:eastAsia="zh-CN"/>
            </w:rPr>
            <w:t>调查分析</w:t>
          </w:r>
          <w:r>
            <w:tab/>
          </w:r>
          <w:r>
            <w:fldChar w:fldCharType="begin"/>
          </w:r>
          <w:r>
            <w:instrText xml:space="preserve"> PAGEREF _Toc15916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_Toc3953 </w:instrText>
          </w:r>
          <w:r>
            <w:rPr>
              <w:rFonts w:ascii="宋体" w:eastAsia="宋体" w:hAnsi="宋体" w:cs="宋体" w:hint="eastAsia"/>
              <w:szCs w:val="24"/>
            </w:rPr>
            <w:fldChar w:fldCharType="separate"/>
          </w:r>
          <w:r>
            <w:rPr>
              <w:rFonts w:hint="default"/>
              <w:lang w:val="en-US" w:eastAsia="zh-CN"/>
            </w:rPr>
            <w:t xml:space="preserve">4.3.3. </w:t>
          </w:r>
          <w:r>
            <w:rPr>
              <w:rFonts w:hint="eastAsia"/>
              <w:lang w:val="en-US" w:eastAsia="zh-CN"/>
            </w:rPr>
            <w:t>处理实施</w:t>
          </w:r>
          <w:r>
            <w:tab/>
          </w:r>
          <w:r>
            <w:fldChar w:fldCharType="begin"/>
          </w:r>
          <w:r>
            <w:instrText xml:space="preserve"> PAGEREF _Toc3953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_Toc3842 </w:instrText>
          </w:r>
          <w:r>
            <w:rPr>
              <w:rFonts w:ascii="宋体" w:eastAsia="宋体" w:hAnsi="宋体" w:cs="宋体" w:hint="eastAsia"/>
              <w:szCs w:val="24"/>
            </w:rPr>
            <w:fldChar w:fldCharType="separate"/>
          </w:r>
          <w:r>
            <w:rPr>
              <w:rFonts w:hint="default"/>
              <w:lang w:val="en-US" w:eastAsia="zh-CN"/>
            </w:rPr>
            <w:t xml:space="preserve">4.3.4. </w:t>
          </w:r>
          <w:r>
            <w:rPr>
              <w:rFonts w:hint="eastAsia"/>
              <w:lang w:val="en-US" w:eastAsia="zh-CN"/>
            </w:rPr>
            <w:t>客户反馈</w:t>
          </w:r>
          <w:r>
            <w:tab/>
          </w:r>
          <w:r>
            <w:fldChar w:fldCharType="begin"/>
          </w:r>
          <w:r>
            <w:instrText xml:space="preserve"> PAGEREF _Toc3842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_Toc28575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投诉升级机制</w:t>
          </w:r>
          <w:r>
            <w:tab/>
          </w:r>
          <w:r>
            <w:fldChar w:fldCharType="begin"/>
          </w:r>
          <w:r>
            <w:instrText xml:space="preserve"> PAGEREF _Toc28575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_Toc17285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投诉关闭与回访</w:t>
          </w:r>
          <w:r>
            <w:tab/>
          </w:r>
          <w:r>
            <w:fldChar w:fldCharType="begin"/>
          </w:r>
          <w:r>
            <w:instrText xml:space="preserve"> PAGEREF _Toc17285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_Toc27534 </w:instrText>
          </w:r>
          <w:r>
            <w:rPr>
              <w:rFonts w:ascii="宋体" w:eastAsia="宋体" w:hAnsi="宋体" w:cs="宋体" w:hint="eastAsia"/>
              <w:szCs w:val="24"/>
            </w:rPr>
            <w:fldChar w:fldCharType="separate"/>
          </w:r>
          <w:r>
            <w:rPr>
              <w:rFonts w:hint="default"/>
              <w:lang w:val="en-US" w:eastAsia="zh-CN"/>
            </w:rPr>
            <w:t xml:space="preserve">4.5.1. </w:t>
          </w:r>
          <w:r>
            <w:rPr>
              <w:rFonts w:hint="eastAsia"/>
              <w:lang w:val="en-US" w:eastAsia="zh-CN"/>
            </w:rPr>
            <w:t>投诉关闭条件</w:t>
          </w:r>
          <w:r>
            <w:tab/>
          </w:r>
          <w:r>
            <w:fldChar w:fldCharType="begin"/>
          </w:r>
          <w:r>
            <w:instrText xml:space="preserve"> PAGEREF _Toc27534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_Toc14707 </w:instrText>
          </w:r>
          <w:r>
            <w:rPr>
              <w:rFonts w:ascii="宋体" w:eastAsia="宋体" w:hAnsi="宋体" w:cs="宋体" w:hint="eastAsia"/>
              <w:szCs w:val="24"/>
            </w:rPr>
            <w:fldChar w:fldCharType="separate"/>
          </w:r>
          <w:r>
            <w:rPr>
              <w:rFonts w:hint="default"/>
              <w:lang w:val="en-US" w:eastAsia="zh-CN"/>
            </w:rPr>
            <w:t xml:space="preserve">4.5.2. </w:t>
          </w:r>
          <w:r>
            <w:rPr>
              <w:rFonts w:hint="eastAsia"/>
              <w:lang w:val="en-US" w:eastAsia="zh-CN"/>
            </w:rPr>
            <w:t>客户回访</w:t>
          </w:r>
          <w:r>
            <w:tab/>
          </w:r>
          <w:r>
            <w:fldChar w:fldCharType="begin"/>
          </w:r>
          <w:r>
            <w:instrText xml:space="preserve"> PAGEREF _Toc14707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_Toc10805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投诉分析与改进</w:t>
          </w:r>
          <w:r>
            <w:tab/>
          </w:r>
          <w:r>
            <w:fldChar w:fldCharType="begin"/>
          </w:r>
          <w:r>
            <w:instrText xml:space="preserve"> PAGEREF _Toc10805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_Toc849 </w:instrText>
          </w:r>
          <w:r>
            <w:rPr>
              <w:rFonts w:ascii="宋体" w:eastAsia="宋体" w:hAnsi="宋体" w:cs="宋体" w:hint="eastAsia"/>
              <w:szCs w:val="24"/>
            </w:rPr>
            <w:fldChar w:fldCharType="separate"/>
          </w:r>
          <w:r>
            <w:rPr>
              <w:rFonts w:hint="default"/>
              <w:lang w:val="en-US" w:eastAsia="zh-CN"/>
            </w:rPr>
            <w:t xml:space="preserve">4.6.1. </w:t>
          </w:r>
          <w:r>
            <w:rPr>
              <w:rFonts w:hint="eastAsia"/>
              <w:lang w:val="en-US" w:eastAsia="zh-CN"/>
            </w:rPr>
            <w:t>投诉统计分析</w:t>
          </w:r>
          <w:r>
            <w:tab/>
          </w:r>
          <w:r>
            <w:fldChar w:fldCharType="begin"/>
          </w:r>
          <w:r>
            <w:instrText xml:space="preserve"> PAGEREF _Toc849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_Toc1477 </w:instrText>
          </w:r>
          <w:r>
            <w:rPr>
              <w:rFonts w:ascii="宋体" w:eastAsia="宋体" w:hAnsi="宋体" w:cs="宋体" w:hint="eastAsia"/>
              <w:szCs w:val="24"/>
            </w:rPr>
            <w:fldChar w:fldCharType="separate"/>
          </w:r>
          <w:r>
            <w:rPr>
              <w:rFonts w:hint="default"/>
              <w:lang w:val="en-US" w:eastAsia="zh-CN"/>
            </w:rPr>
            <w:t xml:space="preserve">4.6.2. </w:t>
          </w:r>
          <w:r>
            <w:rPr>
              <w:rFonts w:hint="eastAsia"/>
              <w:lang w:val="en-US" w:eastAsia="zh-CN"/>
            </w:rPr>
            <w:t>改进措施</w:t>
          </w:r>
          <w:r>
            <w:tab/>
          </w:r>
          <w:r>
            <w:fldChar w:fldCharType="begin"/>
          </w:r>
          <w:r>
            <w:instrText xml:space="preserve"> PAGEREF _Toc1477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_Toc25925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_Toc25925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_Toc8606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_Toc8606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_Toc28087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_Toc28087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6963"/>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4116"/>
      <w:r>
        <w:rPr>
          <w:rFonts w:hint="eastAsia"/>
          <w:lang w:val="en-US" w:eastAsia="zh-CN"/>
        </w:rPr>
        <w:t>目的</w:t>
      </w:r>
      <w:bookmarkEnd w:id="4"/>
    </w:p>
    <w:p>
      <w:pPr>
        <w:pStyle w:val="a1"/>
        <w:rPr>
          <w:rFonts w:hint="eastAsia"/>
          <w:lang w:val="en-US" w:eastAsia="zh-CN"/>
        </w:rPr>
      </w:pPr>
      <w:r>
        <w:rPr>
          <w:rFonts w:hint="eastAsia"/>
          <w:lang w:val="en-US" w:eastAsia="zh-CN"/>
        </w:rPr>
        <w:t>为规范公司运维服务投诉处理流程，及时有效地处理客户投诉，提升客户满意度，完善服务质量改进机制，维护公司品牌形象，特制定本制度。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2726"/>
      <w:r>
        <w:rPr>
          <w:rFonts w:hint="eastAsia"/>
          <w:lang w:val="en-US" w:eastAsia="zh-CN"/>
        </w:rPr>
        <w:t>适用范围</w:t>
      </w:r>
      <w:bookmarkEnd w:id="5"/>
    </w:p>
    <w:p>
      <w:pPr>
        <w:pStyle w:val="a1"/>
        <w:rPr>
          <w:rFonts w:hint="eastAsia"/>
          <w:lang w:val="en-US" w:eastAsia="zh-CN"/>
        </w:rPr>
      </w:pPr>
      <w:r>
        <w:rPr>
          <w:rFonts w:hint="eastAsia"/>
          <w:lang w:val="en-US" w:eastAsia="zh-CN"/>
        </w:rPr>
        <w:t>本制度适用于公司运维服务过程中收到的所有客户投诉的处理与管理，涵盖投诉接收、处理、反馈、分析和改进的全过程。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6412"/>
      <w:r>
        <w:rPr>
          <w:rFonts w:hint="eastAsia"/>
          <w:lang w:val="en-US" w:eastAsia="zh-CN"/>
        </w:rPr>
        <w:t>原则</w:t>
      </w:r>
      <w:bookmarkEnd w:id="6"/>
    </w:p>
    <w:p>
      <w:pPr>
        <w:pStyle w:val="a1"/>
        <w:numPr>
          <w:ilvl w:val="0"/>
          <w:numId w:val="2"/>
        </w:numPr>
        <w:ind w:left="425" w:hanging="425" w:leftChars="0" w:firstLineChars="0"/>
        <w:rPr>
          <w:rFonts w:hint="eastAsia"/>
          <w:lang w:val="en-US" w:eastAsia="zh-CN"/>
        </w:rPr>
      </w:pPr>
      <w:r>
        <w:rPr>
          <w:rFonts w:hint="eastAsia"/>
          <w:lang w:val="en-US" w:eastAsia="zh-CN"/>
        </w:rPr>
        <w:t>及时响应：在规定时限内响应并处理客户投诉</w:t>
      </w:r>
    </w:p>
    <w:p>
      <w:pPr>
        <w:pStyle w:val="a1"/>
        <w:numPr>
          <w:ilvl w:val="0"/>
          <w:numId w:val="2"/>
        </w:numPr>
        <w:ind w:left="425" w:hanging="425" w:leftChars="0" w:firstLineChars="0"/>
        <w:rPr>
          <w:rFonts w:hint="eastAsia"/>
          <w:lang w:val="en-US" w:eastAsia="zh-CN"/>
        </w:rPr>
      </w:pPr>
      <w:r>
        <w:rPr>
          <w:rFonts w:hint="eastAsia"/>
          <w:lang w:val="en-US" w:eastAsia="zh-CN"/>
        </w:rPr>
        <w:t>客观公正：基于事实，公平公正地处理投诉</w:t>
      </w:r>
    </w:p>
    <w:p>
      <w:pPr>
        <w:pStyle w:val="a1"/>
        <w:numPr>
          <w:ilvl w:val="0"/>
          <w:numId w:val="2"/>
        </w:numPr>
        <w:ind w:left="425" w:hanging="425" w:leftChars="0" w:firstLineChars="0"/>
        <w:rPr>
          <w:rFonts w:hint="eastAsia"/>
          <w:lang w:val="en-US" w:eastAsia="zh-CN"/>
        </w:rPr>
      </w:pPr>
      <w:r>
        <w:rPr>
          <w:rFonts w:hint="eastAsia"/>
          <w:lang w:val="en-US" w:eastAsia="zh-CN"/>
        </w:rPr>
        <w:t>客户满意：以客户满意为投诉处理的最终目标</w:t>
      </w:r>
    </w:p>
    <w:p>
      <w:pPr>
        <w:pStyle w:val="a1"/>
        <w:numPr>
          <w:ilvl w:val="0"/>
          <w:numId w:val="2"/>
        </w:numPr>
        <w:ind w:left="425" w:hanging="425" w:leftChars="0" w:firstLineChars="0"/>
        <w:rPr>
          <w:rFonts w:hint="eastAsia"/>
          <w:lang w:val="en-US" w:eastAsia="zh-CN"/>
        </w:rPr>
      </w:pPr>
      <w:r>
        <w:rPr>
          <w:rFonts w:hint="eastAsia"/>
          <w:lang w:val="en-US" w:eastAsia="zh-CN"/>
        </w:rPr>
        <w:t>持续改进：通过投诉分析推动服务质量持续改进</w:t>
      </w:r>
    </w:p>
    <w:p>
      <w:pPr>
        <w:pStyle w:val="a1"/>
        <w:numPr>
          <w:ilvl w:val="0"/>
          <w:numId w:val="2"/>
        </w:numPr>
        <w:ind w:left="425" w:hanging="425" w:leftChars="0" w:firstLineChars="0"/>
        <w:rPr>
          <w:rFonts w:hint="eastAsia"/>
          <w:lang w:val="en-US" w:eastAsia="zh-CN"/>
        </w:rPr>
      </w:pPr>
      <w:r>
        <w:rPr>
          <w:rFonts w:hint="eastAsia"/>
          <w:lang w:val="en-US" w:eastAsia="zh-CN"/>
        </w:rPr>
        <w:t>责任明确：明确投诉处理各环节的责任部门和人员</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2314"/>
      <w:r>
        <w:rPr>
          <w:rFonts w:hint="eastAsia"/>
          <w:lang w:val="en-US" w:eastAsia="zh-CN"/>
        </w:rPr>
        <w:t>岗位职责</w:t>
      </w:r>
      <w:bookmarkEnd w:id="7"/>
    </w:p>
    <w:p>
      <w:pPr>
        <w:pStyle w:val="3"/>
        <w:bidi w:val="0"/>
        <w:rPr>
          <w:rFonts w:hint="default"/>
          <w:lang w:val="en-US" w:eastAsia="zh-CN"/>
        </w:rPr>
      </w:pPr>
      <w:bookmarkStart w:id="8" w:name="_Toc13153"/>
      <w:r>
        <w:rPr>
          <w:rFonts w:hint="eastAsia"/>
          <w:lang w:val="en-US" w:eastAsia="zh-CN"/>
        </w:rPr>
        <w:t>服务台专员</w:t>
      </w:r>
      <w:bookmarkEnd w:id="8"/>
    </w:p>
    <w:p>
      <w:pPr>
        <w:pStyle w:val="a1"/>
        <w:rPr>
          <w:rFonts w:hint="default"/>
          <w:lang w:val="en-US" w:eastAsia="zh-CN"/>
        </w:rPr>
      </w:pPr>
      <w:r>
        <w:rPr>
          <w:rFonts w:hint="default"/>
          <w:lang w:val="en-US" w:eastAsia="zh-CN"/>
        </w:rPr>
        <w:t>负责投诉的统一接收、登记、分发和回访</w:t>
      </w:r>
    </w:p>
    <w:p>
      <w:pPr>
        <w:pStyle w:val="3"/>
        <w:bidi w:val="0"/>
        <w:rPr>
          <w:rFonts w:hint="default"/>
          <w:lang w:val="en-US" w:eastAsia="zh-CN"/>
        </w:rPr>
      </w:pPr>
      <w:bookmarkStart w:id="9" w:name="_Toc16954"/>
      <w:r>
        <w:rPr>
          <w:rFonts w:hint="default"/>
          <w:lang w:val="en-US" w:eastAsia="zh-CN"/>
        </w:rPr>
        <w:t>运维部</w:t>
      </w:r>
      <w:bookmarkEnd w:id="9"/>
    </w:p>
    <w:p>
      <w:pPr>
        <w:pStyle w:val="a1"/>
        <w:rPr>
          <w:rFonts w:hint="default"/>
          <w:lang w:val="en-US" w:eastAsia="zh-CN"/>
        </w:rPr>
      </w:pPr>
      <w:r>
        <w:rPr>
          <w:rFonts w:hint="default"/>
          <w:lang w:val="en-US" w:eastAsia="zh-CN"/>
        </w:rPr>
        <w:t>负责投诉问题的调查分析和具体处理</w:t>
      </w:r>
    </w:p>
    <w:p>
      <w:pPr>
        <w:pStyle w:val="3"/>
        <w:bidi w:val="0"/>
        <w:rPr>
          <w:rFonts w:hint="default"/>
          <w:lang w:val="en-US" w:eastAsia="zh-CN"/>
        </w:rPr>
      </w:pPr>
      <w:bookmarkStart w:id="10" w:name="_Toc13729"/>
      <w:r>
        <w:rPr>
          <w:rFonts w:hint="default"/>
          <w:lang w:val="en-US" w:eastAsia="zh-CN"/>
        </w:rPr>
        <w:t>质量部</w:t>
      </w:r>
      <w:bookmarkEnd w:id="10"/>
    </w:p>
    <w:p>
      <w:pPr>
        <w:pStyle w:val="a1"/>
        <w:rPr>
          <w:rFonts w:hint="default"/>
          <w:lang w:val="en-US" w:eastAsia="zh-CN"/>
        </w:rPr>
      </w:pPr>
      <w:r>
        <w:rPr>
          <w:rFonts w:hint="default"/>
          <w:lang w:val="en-US" w:eastAsia="zh-CN"/>
        </w:rPr>
        <w:t>负责投诉处理的监督、效果验证和改进推动</w:t>
      </w:r>
    </w:p>
    <w:p>
      <w:pPr>
        <w:pStyle w:val="3"/>
        <w:bidi w:val="0"/>
        <w:rPr>
          <w:rFonts w:hint="default"/>
          <w:lang w:val="en-US" w:eastAsia="zh-CN"/>
        </w:rPr>
      </w:pPr>
      <w:bookmarkStart w:id="11" w:name="_Toc7243"/>
      <w:r>
        <w:rPr>
          <w:rFonts w:hint="default"/>
          <w:lang w:val="en-US" w:eastAsia="zh-CN"/>
        </w:rPr>
        <w:t>管理者代表</w:t>
      </w:r>
      <w:bookmarkEnd w:id="11"/>
    </w:p>
    <w:p>
      <w:pPr>
        <w:pStyle w:val="a1"/>
        <w:rPr>
          <w:rFonts w:hint="default"/>
          <w:lang w:val="en-US" w:eastAsia="zh-CN"/>
        </w:rPr>
      </w:pPr>
      <w:r>
        <w:rPr>
          <w:rFonts w:hint="default"/>
          <w:lang w:val="en-US" w:eastAsia="zh-CN"/>
        </w:rPr>
        <w:t>负责重大投诉的协调处理和升级投诉的审批</w:t>
      </w:r>
    </w:p>
    <w:p>
      <w:pPr>
        <w:pStyle w:val="3"/>
        <w:bidi w:val="0"/>
        <w:rPr>
          <w:rFonts w:hint="default"/>
          <w:lang w:val="en-US" w:eastAsia="zh-CN"/>
        </w:rPr>
      </w:pPr>
      <w:bookmarkStart w:id="12" w:name="_Toc928"/>
      <w:r>
        <w:rPr>
          <w:rFonts w:hint="default"/>
          <w:lang w:val="en-US" w:eastAsia="zh-CN"/>
        </w:rPr>
        <w:t>各相关部门</w:t>
      </w:r>
      <w:bookmarkEnd w:id="12"/>
    </w:p>
    <w:p>
      <w:pPr>
        <w:pStyle w:val="a1"/>
        <w:rPr>
          <w:rFonts w:hint="default"/>
          <w:lang w:val="en-US" w:eastAsia="zh-CN"/>
        </w:rPr>
      </w:pPr>
      <w:r>
        <w:rPr>
          <w:rFonts w:hint="default"/>
          <w:lang w:val="en-US" w:eastAsia="zh-CN"/>
        </w:rPr>
        <w:t>配合完成与本部门相关的投诉处理工作</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8662"/>
      <w:r>
        <w:rPr>
          <w:rFonts w:hint="eastAsia"/>
          <w:lang w:val="en-US" w:eastAsia="zh-CN"/>
        </w:rPr>
        <w:t>引用依据</w:t>
      </w:r>
      <w:bookmarkEnd w:id="13"/>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GB/T 28827.3-2012 《信息技术服务 运行维护 第3部分：应急响应规范》</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4" w:name="_Toc6150"/>
      <w:r>
        <w:rPr>
          <w:rFonts w:hint="eastAsia"/>
          <w:lang w:val="en-US" w:eastAsia="zh-CN"/>
        </w:rPr>
        <w:t>定义与术语</w:t>
      </w:r>
      <w:bookmarkEnd w:id="14"/>
    </w:p>
    <w:p>
      <w:pPr>
        <w:pStyle w:val="2"/>
        <w:bidi w:val="0"/>
        <w:rPr>
          <w:rFonts w:hint="eastAsia"/>
        </w:rPr>
      </w:pPr>
      <w:bookmarkStart w:id="15" w:name="_Toc6830"/>
      <w:r>
        <w:rPr>
          <w:rFonts w:hint="eastAsia"/>
        </w:rPr>
        <w:t>客户投诉</w:t>
      </w:r>
      <w:bookmarkEnd w:id="15"/>
    </w:p>
    <w:p>
      <w:pPr>
        <w:pStyle w:val="a1"/>
        <w:rPr>
          <w:rFonts w:hint="eastAsia"/>
        </w:rPr>
      </w:pPr>
      <w:r>
        <w:rPr>
          <w:rFonts w:hint="eastAsia"/>
        </w:rPr>
        <w:t>客户对运维服务质量表达的不满，包括服务质量、服务态度、服务时效等方面的问题</w:t>
      </w:r>
    </w:p>
    <w:p>
      <w:pPr>
        <w:pStyle w:val="2"/>
        <w:bidi w:val="0"/>
        <w:rPr>
          <w:rFonts w:hint="eastAsia"/>
        </w:rPr>
      </w:pPr>
      <w:bookmarkStart w:id="16" w:name="_Toc7163"/>
      <w:r>
        <w:rPr>
          <w:rFonts w:hint="eastAsia"/>
        </w:rPr>
        <w:t>投诉升级</w:t>
      </w:r>
      <w:bookmarkEnd w:id="16"/>
    </w:p>
    <w:p>
      <w:pPr>
        <w:pStyle w:val="a1"/>
        <w:rPr>
          <w:rFonts w:hint="eastAsia"/>
        </w:rPr>
      </w:pPr>
      <w:r>
        <w:rPr>
          <w:rFonts w:hint="eastAsia"/>
        </w:rPr>
        <w:t>因投诉问题复杂或处理不及时而向更高级别管理人员转办的过程</w:t>
      </w:r>
    </w:p>
    <w:p>
      <w:pPr>
        <w:pStyle w:val="2"/>
        <w:bidi w:val="0"/>
        <w:rPr>
          <w:rFonts w:hint="eastAsia"/>
        </w:rPr>
      </w:pPr>
      <w:bookmarkStart w:id="17" w:name="_Toc4473"/>
      <w:r>
        <w:rPr>
          <w:rFonts w:hint="eastAsia"/>
        </w:rPr>
        <w:t>投诉关闭</w:t>
      </w:r>
      <w:bookmarkEnd w:id="17"/>
    </w:p>
    <w:p>
      <w:pPr>
        <w:pStyle w:val="a1"/>
      </w:pPr>
      <w:r>
        <w:rPr>
          <w:rFonts w:hint="eastAsia"/>
        </w:rPr>
        <w:t>投诉问题得到解决并获得客户认可后的完结状态</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7726"/>
      <w:r>
        <w:rPr>
          <w:rFonts w:hint="eastAsia"/>
          <w:lang w:val="en-US" w:eastAsia="zh-CN"/>
        </w:rPr>
        <w:t>管理内容与要求</w:t>
      </w:r>
      <w:bookmarkEnd w:id="18"/>
    </w:p>
    <w:p>
      <w:pPr>
        <w:pStyle w:val="2"/>
        <w:bidi w:val="0"/>
        <w:rPr>
          <w:rFonts w:hint="default"/>
          <w:lang w:val="en-US" w:eastAsia="zh-CN"/>
        </w:rPr>
      </w:pPr>
      <w:bookmarkStart w:id="19" w:name="_Toc11232"/>
      <w:r>
        <w:rPr>
          <w:rFonts w:hint="default"/>
          <w:lang w:val="en-US" w:eastAsia="zh-CN"/>
        </w:rPr>
        <w:t>投诉受理</w:t>
      </w:r>
      <w:bookmarkEnd w:id="19"/>
    </w:p>
    <w:p>
      <w:pPr>
        <w:pStyle w:val="3"/>
        <w:bidi w:val="0"/>
        <w:rPr>
          <w:rFonts w:hint="default"/>
          <w:lang w:val="en-US" w:eastAsia="zh-CN"/>
        </w:rPr>
      </w:pPr>
      <w:bookmarkStart w:id="20" w:name="_Toc30234"/>
      <w:r>
        <w:rPr>
          <w:rFonts w:hint="default"/>
          <w:lang w:val="en-US" w:eastAsia="zh-CN"/>
        </w:rPr>
        <w:t>投诉渠道</w:t>
      </w:r>
      <w:bookmarkEnd w:id="20"/>
    </w:p>
    <w:p>
      <w:pPr>
        <w:pStyle w:val="a1"/>
        <w:rPr>
          <w:rFonts w:hint="default"/>
          <w:lang w:val="en-US" w:eastAsia="zh-CN"/>
        </w:rPr>
      </w:pPr>
      <w:r>
        <w:rPr>
          <w:rFonts w:hint="default"/>
          <w:lang w:val="en-US" w:eastAsia="zh-CN"/>
        </w:rPr>
        <w:t>客服热线：提供7×24小时投诉受理服务</w:t>
      </w:r>
    </w:p>
    <w:p>
      <w:pPr>
        <w:pStyle w:val="a1"/>
        <w:rPr>
          <w:rFonts w:hint="default"/>
          <w:lang w:val="en-US" w:eastAsia="zh-CN"/>
        </w:rPr>
      </w:pPr>
      <w:r>
        <w:rPr>
          <w:rFonts w:hint="default"/>
          <w:lang w:val="en-US" w:eastAsia="zh-CN"/>
        </w:rPr>
        <w:t>电子邮件：指定投诉专用邮箱</w:t>
      </w:r>
    </w:p>
    <w:p>
      <w:pPr>
        <w:pStyle w:val="a1"/>
        <w:rPr>
          <w:rFonts w:hint="default"/>
          <w:lang w:val="en-US" w:eastAsia="zh-CN"/>
        </w:rPr>
      </w:pPr>
      <w:r>
        <w:rPr>
          <w:rFonts w:hint="default"/>
          <w:lang w:val="en-US" w:eastAsia="zh-CN"/>
        </w:rPr>
        <w:t>在线客服：通过公司官网、微信公众号等渠道</w:t>
      </w:r>
    </w:p>
    <w:p>
      <w:pPr>
        <w:pStyle w:val="a1"/>
        <w:rPr>
          <w:rFonts w:hint="default"/>
          <w:lang w:val="en-US" w:eastAsia="zh-CN"/>
        </w:rPr>
      </w:pPr>
      <w:r>
        <w:rPr>
          <w:rFonts w:hint="default"/>
          <w:lang w:val="en-US" w:eastAsia="zh-CN"/>
        </w:rPr>
        <w:t>现场投诉：客户来访或服务过程中提出的投诉</w:t>
      </w:r>
    </w:p>
    <w:p>
      <w:pPr>
        <w:pStyle w:val="3"/>
        <w:bidi w:val="0"/>
        <w:rPr>
          <w:rFonts w:hint="default"/>
          <w:lang w:val="en-US" w:eastAsia="zh-CN"/>
        </w:rPr>
      </w:pPr>
      <w:bookmarkStart w:id="21" w:name="_Toc20796"/>
      <w:r>
        <w:rPr>
          <w:rFonts w:hint="default"/>
          <w:lang w:val="en-US" w:eastAsia="zh-CN"/>
        </w:rPr>
        <w:t>投诉登记</w:t>
      </w:r>
      <w:bookmarkEnd w:id="21"/>
    </w:p>
    <w:p>
      <w:pPr>
        <w:pStyle w:val="a1"/>
        <w:rPr>
          <w:rFonts w:hint="default"/>
          <w:lang w:val="en-US" w:eastAsia="zh-CN"/>
        </w:rPr>
      </w:pPr>
      <w:r>
        <w:rPr>
          <w:rFonts w:hint="eastAsia"/>
          <w:lang w:val="en-US" w:eastAsia="zh-CN"/>
        </w:rPr>
        <w:t>服务台专员</w:t>
      </w:r>
      <w:r>
        <w:rPr>
          <w:rFonts w:hint="default"/>
          <w:lang w:val="en-US" w:eastAsia="zh-CN"/>
        </w:rPr>
        <w:t>在接到投诉后，应在《客户投诉登记表》中详细记录：</w:t>
      </w:r>
    </w:p>
    <w:p>
      <w:pPr>
        <w:pStyle w:val="a1"/>
        <w:numPr>
          <w:ilvl w:val="0"/>
          <w:numId w:val="4"/>
        </w:numPr>
        <w:ind w:left="425" w:hanging="425" w:leftChars="0" w:firstLineChars="0"/>
        <w:rPr>
          <w:rFonts w:hint="default"/>
          <w:lang w:val="en-US" w:eastAsia="zh-CN"/>
        </w:rPr>
      </w:pPr>
      <w:r>
        <w:rPr>
          <w:rFonts w:hint="default"/>
          <w:lang w:val="en-US" w:eastAsia="zh-CN"/>
        </w:rPr>
        <w:t>投诉人基本信息</w:t>
      </w:r>
    </w:p>
    <w:p>
      <w:pPr>
        <w:pStyle w:val="a1"/>
        <w:numPr>
          <w:ilvl w:val="0"/>
          <w:numId w:val="4"/>
        </w:numPr>
        <w:ind w:left="425" w:hanging="425" w:leftChars="0" w:firstLineChars="0"/>
        <w:rPr>
          <w:rFonts w:hint="default"/>
          <w:lang w:val="en-US" w:eastAsia="zh-CN"/>
        </w:rPr>
      </w:pPr>
      <w:r>
        <w:rPr>
          <w:rFonts w:hint="default"/>
          <w:lang w:val="en-US" w:eastAsia="zh-CN"/>
        </w:rPr>
        <w:t>投诉时间和渠道</w:t>
      </w:r>
    </w:p>
    <w:p>
      <w:pPr>
        <w:pStyle w:val="a1"/>
        <w:numPr>
          <w:ilvl w:val="0"/>
          <w:numId w:val="4"/>
        </w:numPr>
        <w:ind w:left="425" w:hanging="425" w:leftChars="0" w:firstLineChars="0"/>
        <w:rPr>
          <w:rFonts w:hint="default"/>
          <w:lang w:val="en-US" w:eastAsia="zh-CN"/>
        </w:rPr>
      </w:pPr>
      <w:r>
        <w:rPr>
          <w:rFonts w:hint="default"/>
          <w:lang w:val="en-US" w:eastAsia="zh-CN"/>
        </w:rPr>
        <w:t>投诉内容详细描述</w:t>
      </w:r>
    </w:p>
    <w:p>
      <w:pPr>
        <w:pStyle w:val="a1"/>
        <w:numPr>
          <w:ilvl w:val="0"/>
          <w:numId w:val="4"/>
        </w:numPr>
        <w:ind w:left="425" w:hanging="425" w:leftChars="0" w:firstLineChars="0"/>
        <w:rPr>
          <w:rFonts w:hint="default"/>
          <w:lang w:val="en-US" w:eastAsia="zh-CN"/>
        </w:rPr>
      </w:pPr>
      <w:r>
        <w:rPr>
          <w:rFonts w:hint="default"/>
          <w:lang w:val="en-US" w:eastAsia="zh-CN"/>
        </w:rPr>
        <w:t>投诉等级初步判定</w:t>
      </w:r>
    </w:p>
    <w:p>
      <w:pPr>
        <w:pStyle w:val="a1"/>
        <w:numPr>
          <w:ilvl w:val="0"/>
          <w:numId w:val="4"/>
        </w:numPr>
        <w:ind w:left="425" w:hanging="425" w:leftChars="0" w:firstLineChars="0"/>
        <w:rPr>
          <w:rFonts w:hint="default"/>
          <w:lang w:val="en-US" w:eastAsia="zh-CN"/>
        </w:rPr>
      </w:pPr>
      <w:r>
        <w:rPr>
          <w:rFonts w:hint="default"/>
          <w:lang w:val="en-US" w:eastAsia="zh-CN"/>
        </w:rPr>
        <w:t>受理人员和受理时间</w:t>
      </w:r>
    </w:p>
    <w:p>
      <w:pPr>
        <w:pStyle w:val="2"/>
        <w:bidi w:val="0"/>
        <w:rPr>
          <w:rFonts w:hint="default"/>
          <w:lang w:val="en-US" w:eastAsia="zh-CN"/>
        </w:rPr>
      </w:pPr>
      <w:bookmarkStart w:id="22" w:name="_Toc13776"/>
      <w:r>
        <w:rPr>
          <w:rFonts w:hint="default"/>
          <w:lang w:val="en-US" w:eastAsia="zh-CN"/>
        </w:rPr>
        <w:t>投诉分类与处理时限</w:t>
      </w:r>
      <w:bookmarkEnd w:id="22"/>
    </w:p>
    <w:p>
      <w:pPr>
        <w:pStyle w:val="3"/>
        <w:bidi w:val="0"/>
        <w:rPr>
          <w:rFonts w:hint="default"/>
          <w:lang w:val="en-US" w:eastAsia="zh-CN"/>
        </w:rPr>
      </w:pPr>
      <w:bookmarkStart w:id="23" w:name="_Toc31704"/>
      <w:r>
        <w:rPr>
          <w:rFonts w:hint="default"/>
          <w:lang w:val="en-US" w:eastAsia="zh-CN"/>
        </w:rPr>
        <w:t>投诉分类</w:t>
      </w:r>
      <w:bookmarkEnd w:id="23"/>
    </w:p>
    <w:p>
      <w:pPr>
        <w:pStyle w:val="a1"/>
        <w:rPr>
          <w:rFonts w:hint="default"/>
          <w:lang w:val="en-US" w:eastAsia="zh-CN"/>
        </w:rPr>
      </w:pPr>
      <w:r>
        <w:rPr>
          <w:rFonts w:hint="default"/>
          <w:lang w:val="en-US" w:eastAsia="zh-CN"/>
        </w:rPr>
        <w:t>根据投诉的紧急程度和影响范围，将投诉分为三个等级</w:t>
      </w:r>
      <w:r>
        <w:rPr>
          <w:rFonts w:hint="eastAsia"/>
          <w:lang w:val="en-US" w:eastAsia="zh-CN"/>
        </w:rPr>
        <w:t>，如表4-1所示</w:t>
      </w:r>
    </w:p>
    <w:p>
      <w:pPr>
        <w:pStyle w:val="a1"/>
        <w:ind w:left="0" w:right="0" w:firstLine="0" w:leftChars="0" w:rightChars="0" w:firstLineChars="0"/>
        <w:jc w:val="center"/>
        <w:rPr>
          <w:rFonts w:hint="eastAsia"/>
          <w:lang w:val="en-US" w:eastAsia="zh-CN"/>
        </w:rPr>
      </w:pPr>
      <w:r>
        <w:rPr>
          <w:rFonts w:hint="eastAsia"/>
          <w:lang w:val="en-US" w:eastAsia="zh-CN"/>
        </w:rPr>
        <w:t>表4-1紧急程度和影响范围表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3"/>
        <w:gridCol w:w="2347"/>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投诉等级</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特征描述</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影响时限</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处理时限</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重大投诉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影响正常运行</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30分钟</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24小时</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一般投诉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影响部分功能</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2小时</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3工作日</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建议投诉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轻微影响</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24小时</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5工作日</w:t>
            </w:r>
          </w:p>
        </w:tc>
      </w:tr>
    </w:tbl>
    <w:p>
      <w:pPr>
        <w:pStyle w:val="3"/>
        <w:bidi w:val="0"/>
        <w:rPr>
          <w:rFonts w:hint="eastAsia"/>
          <w:lang w:val="en-US" w:eastAsia="zh-CN"/>
        </w:rPr>
      </w:pPr>
      <w:bookmarkStart w:id="24" w:name="_Toc3432"/>
      <w:r>
        <w:rPr>
          <w:rFonts w:hint="eastAsia"/>
          <w:lang w:val="en-US" w:eastAsia="zh-CN"/>
        </w:rPr>
        <w:t>投诉分发</w:t>
      </w:r>
      <w:bookmarkEnd w:id="24"/>
    </w:p>
    <w:p>
      <w:pPr>
        <w:pStyle w:val="a1"/>
        <w:ind w:left="0" w:right="0" w:firstLine="0" w:leftChars="0" w:rightChars="0" w:firstLineChars="0"/>
        <w:jc w:val="both"/>
        <w:rPr>
          <w:rFonts w:hint="eastAsia"/>
          <w:lang w:val="en-US" w:eastAsia="zh-CN"/>
        </w:rPr>
      </w:pPr>
      <w:r>
        <w:rPr>
          <w:rFonts w:hint="eastAsia"/>
          <w:lang w:val="en-US" w:eastAsia="zh-CN"/>
        </w:rPr>
        <w:t>服务台专员根据投诉内容和等级，将投诉分发至相应责任部门：</w:t>
      </w:r>
    </w:p>
    <w:p>
      <w:pPr>
        <w:pStyle w:val="a1"/>
        <w:ind w:left="0" w:right="0" w:firstLine="0" w:leftChars="0" w:rightChars="0" w:firstLineChars="0"/>
        <w:jc w:val="both"/>
        <w:rPr>
          <w:rFonts w:hint="eastAsia"/>
          <w:lang w:val="en-US" w:eastAsia="zh-CN"/>
        </w:rPr>
      </w:pPr>
      <w:r>
        <w:rPr>
          <w:rFonts w:hint="eastAsia"/>
          <w:lang w:val="en-US" w:eastAsia="zh-CN"/>
        </w:rPr>
        <w:t>技术服务类投诉→运维部</w:t>
      </w:r>
    </w:p>
    <w:p>
      <w:pPr>
        <w:pStyle w:val="a1"/>
        <w:ind w:left="0" w:right="0" w:firstLine="0" w:leftChars="0" w:rightChars="0" w:firstLineChars="0"/>
        <w:jc w:val="both"/>
        <w:rPr>
          <w:rFonts w:hint="eastAsia"/>
          <w:lang w:val="en-US" w:eastAsia="zh-CN"/>
        </w:rPr>
      </w:pPr>
      <w:r>
        <w:rPr>
          <w:rFonts w:hint="eastAsia"/>
          <w:lang w:val="en-US" w:eastAsia="zh-CN"/>
        </w:rPr>
        <w:t>服务质量类投诉→质量部</w:t>
      </w:r>
    </w:p>
    <w:p>
      <w:pPr>
        <w:pStyle w:val="a1"/>
        <w:ind w:left="0" w:right="0" w:firstLine="0" w:leftChars="0" w:rightChars="0" w:firstLineChars="0"/>
        <w:jc w:val="both"/>
        <w:rPr>
          <w:rFonts w:hint="eastAsia"/>
          <w:lang w:val="en-US" w:eastAsia="zh-CN"/>
        </w:rPr>
      </w:pPr>
      <w:r>
        <w:rPr>
          <w:rFonts w:hint="eastAsia"/>
          <w:lang w:val="en-US" w:eastAsia="zh-CN"/>
        </w:rPr>
        <w:t>服务态度类投诉→相关部门负责人</w:t>
      </w:r>
    </w:p>
    <w:p>
      <w:pPr>
        <w:pStyle w:val="a1"/>
        <w:ind w:left="0" w:right="0" w:firstLine="0" w:leftChars="0" w:rightChars="0" w:firstLineChars="0"/>
        <w:jc w:val="both"/>
        <w:rPr>
          <w:rFonts w:hint="eastAsia"/>
          <w:lang w:val="en-US" w:eastAsia="zh-CN"/>
        </w:rPr>
      </w:pPr>
      <w:r>
        <w:rPr>
          <w:rFonts w:hint="eastAsia"/>
          <w:lang w:val="en-US" w:eastAsia="zh-CN"/>
        </w:rPr>
        <w:t>重大或复杂投诉→管理者代表</w:t>
      </w:r>
    </w:p>
    <w:p>
      <w:pPr>
        <w:pStyle w:val="2"/>
        <w:bidi w:val="0"/>
        <w:rPr>
          <w:rFonts w:hint="eastAsia"/>
          <w:lang w:val="en-US" w:eastAsia="zh-CN"/>
        </w:rPr>
      </w:pPr>
      <w:bookmarkStart w:id="25" w:name="_Toc12531"/>
      <w:r>
        <w:rPr>
          <w:rFonts w:hint="eastAsia"/>
          <w:lang w:val="en-US" w:eastAsia="zh-CN"/>
        </w:rPr>
        <w:t>投诉处理流程</w:t>
      </w:r>
      <w:bookmarkEnd w:id="25"/>
    </w:p>
    <w:p>
      <w:pPr>
        <w:pStyle w:val="3"/>
        <w:bidi w:val="0"/>
        <w:rPr>
          <w:rFonts w:hint="eastAsia"/>
          <w:lang w:val="en-US" w:eastAsia="zh-CN"/>
        </w:rPr>
      </w:pPr>
      <w:bookmarkStart w:id="26" w:name="_Toc29712"/>
      <w:r>
        <w:rPr>
          <w:rFonts w:hint="eastAsia"/>
          <w:lang w:val="en-US" w:eastAsia="zh-CN"/>
        </w:rPr>
        <w:t>初步响应</w:t>
      </w:r>
      <w:bookmarkEnd w:id="26"/>
    </w:p>
    <w:p>
      <w:pPr>
        <w:pStyle w:val="a1"/>
        <w:ind w:left="0" w:right="0" w:firstLine="0" w:leftChars="0" w:rightChars="0" w:firstLineChars="0"/>
        <w:jc w:val="both"/>
        <w:rPr>
          <w:rFonts w:hint="eastAsia"/>
          <w:lang w:val="en-US" w:eastAsia="zh-CN"/>
        </w:rPr>
      </w:pPr>
      <w:r>
        <w:rPr>
          <w:rFonts w:hint="eastAsia"/>
          <w:lang w:val="en-US" w:eastAsia="zh-CN"/>
        </w:rPr>
        <w:t>责任部门在规定的响应时限内联系客户，确认投诉细节，告知处理计划，稳定客户情绪。</w:t>
      </w:r>
    </w:p>
    <w:p>
      <w:pPr>
        <w:pStyle w:val="3"/>
        <w:bidi w:val="0"/>
        <w:rPr>
          <w:rFonts w:hint="eastAsia"/>
          <w:lang w:val="en-US" w:eastAsia="zh-CN"/>
        </w:rPr>
      </w:pPr>
      <w:bookmarkStart w:id="27" w:name="_Toc15916"/>
      <w:r>
        <w:rPr>
          <w:rFonts w:hint="eastAsia"/>
          <w:lang w:val="en-US" w:eastAsia="zh-CN"/>
        </w:rPr>
        <w:t>调查分析</w:t>
      </w:r>
      <w:bookmarkEnd w:id="27"/>
    </w:p>
    <w:p>
      <w:pPr>
        <w:pStyle w:val="a1"/>
        <w:ind w:left="0" w:right="0" w:firstLine="0" w:leftChars="0" w:rightChars="0" w:firstLineChars="0"/>
        <w:jc w:val="both"/>
        <w:rPr>
          <w:rFonts w:hint="eastAsia"/>
          <w:lang w:val="en-US" w:eastAsia="zh-CN"/>
        </w:rPr>
      </w:pPr>
      <w:r>
        <w:rPr>
          <w:rFonts w:hint="eastAsia"/>
          <w:lang w:val="en-US" w:eastAsia="zh-CN"/>
        </w:rPr>
        <w:t>责任部门对投诉问题进行深入调查：</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收集相关证据和资料</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分析问题产生的原因</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确定责任归属</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评估问题影响程度</w:t>
      </w:r>
    </w:p>
    <w:p>
      <w:pPr>
        <w:pStyle w:val="3"/>
        <w:bidi w:val="0"/>
        <w:rPr>
          <w:rFonts w:hint="eastAsia"/>
          <w:lang w:val="en-US" w:eastAsia="zh-CN"/>
        </w:rPr>
      </w:pPr>
      <w:bookmarkStart w:id="28" w:name="_Toc3953"/>
      <w:r>
        <w:rPr>
          <w:rFonts w:hint="eastAsia"/>
          <w:lang w:val="en-US" w:eastAsia="zh-CN"/>
        </w:rPr>
        <w:t>处理实施</w:t>
      </w:r>
      <w:bookmarkEnd w:id="28"/>
    </w:p>
    <w:p>
      <w:pPr>
        <w:pStyle w:val="a1"/>
        <w:ind w:left="0" w:right="0" w:firstLine="0" w:leftChars="0" w:rightChars="0" w:firstLineChars="0"/>
        <w:jc w:val="both"/>
        <w:rPr>
          <w:rFonts w:hint="eastAsia"/>
          <w:lang w:val="en-US" w:eastAsia="zh-CN"/>
        </w:rPr>
      </w:pPr>
      <w:r>
        <w:rPr>
          <w:rFonts w:hint="eastAsia"/>
          <w:lang w:val="en-US" w:eastAsia="zh-CN"/>
        </w:rPr>
        <w:t>根据调查结果制定处理方案：</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技术问题立即组织修复</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服务质量问题制定改进措施</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服务态度问题对责任人进行处理</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需要跨部门协调的，由管理者代表组织协调</w:t>
      </w:r>
    </w:p>
    <w:p>
      <w:pPr>
        <w:pStyle w:val="3"/>
        <w:bidi w:val="0"/>
        <w:rPr>
          <w:rFonts w:hint="eastAsia"/>
          <w:lang w:val="en-US" w:eastAsia="zh-CN"/>
        </w:rPr>
      </w:pPr>
      <w:bookmarkStart w:id="29" w:name="_Toc3842"/>
      <w:r>
        <w:rPr>
          <w:rFonts w:hint="eastAsia"/>
          <w:lang w:val="en-US" w:eastAsia="zh-CN"/>
        </w:rPr>
        <w:t>客户反馈</w:t>
      </w:r>
      <w:bookmarkEnd w:id="29"/>
    </w:p>
    <w:p>
      <w:pPr>
        <w:pStyle w:val="a1"/>
        <w:ind w:left="0" w:right="0" w:firstLine="0" w:leftChars="0" w:rightChars="0" w:firstLineChars="0"/>
        <w:jc w:val="both"/>
        <w:rPr>
          <w:rFonts w:hint="eastAsia"/>
          <w:lang w:val="en-US" w:eastAsia="zh-CN"/>
        </w:rPr>
      </w:pPr>
      <w:r>
        <w:rPr>
          <w:rFonts w:hint="eastAsia"/>
          <w:lang w:val="en-US" w:eastAsia="zh-CN"/>
        </w:rPr>
        <w:t>处理过程中及时向客户反馈进展，处理完成后：</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向客户详细说明处理结果</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征求客户对处理结果的满意度</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记录客户反馈意见</w:t>
      </w:r>
    </w:p>
    <w:p>
      <w:pPr>
        <w:pStyle w:val="2"/>
        <w:bidi w:val="0"/>
        <w:rPr>
          <w:rFonts w:hint="eastAsia"/>
          <w:lang w:val="en-US" w:eastAsia="zh-CN"/>
        </w:rPr>
      </w:pPr>
      <w:bookmarkStart w:id="30" w:name="_Toc28575"/>
      <w:r>
        <w:rPr>
          <w:rFonts w:hint="eastAsia"/>
          <w:lang w:val="en-US" w:eastAsia="zh-CN"/>
        </w:rPr>
        <w:t>投诉升级机制</w:t>
      </w:r>
      <w:bookmarkEnd w:id="30"/>
    </w:p>
    <w:p>
      <w:pPr>
        <w:pStyle w:val="a1"/>
        <w:ind w:left="0" w:right="0" w:firstLine="0" w:leftChars="0" w:rightChars="0" w:firstLineChars="0"/>
        <w:jc w:val="both"/>
        <w:rPr>
          <w:rFonts w:hint="eastAsia"/>
          <w:lang w:val="en-US" w:eastAsia="zh-CN"/>
        </w:rPr>
      </w:pPr>
      <w:r>
        <w:rPr>
          <w:rFonts w:hint="eastAsia"/>
          <w:lang w:val="en-US" w:eastAsia="zh-CN"/>
        </w:rPr>
        <w:t>出现以下情况时，投诉应升级处理：</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普通投诉未在规定时限内解决</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客户对处理结果不满意并提出异议</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同一问题重复投诉</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可能引发重大影响的投诉</w:t>
      </w:r>
    </w:p>
    <w:p>
      <w:pPr>
        <w:pStyle w:val="a1"/>
        <w:ind w:left="0" w:right="0" w:firstLine="0" w:leftChars="0" w:rightChars="0" w:firstLineChars="0"/>
        <w:jc w:val="both"/>
        <w:rPr>
          <w:rFonts w:hint="default"/>
          <w:lang w:val="en-US" w:eastAsia="zh-CN"/>
        </w:rPr>
      </w:pPr>
      <w:r>
        <w:rPr>
          <w:rFonts w:hint="eastAsia"/>
          <w:lang w:val="en-US" w:eastAsia="zh-CN"/>
        </w:rPr>
        <w:t>升级流程：服务台专员→责任部门负责人→管理者代表→总经理</w:t>
      </w:r>
    </w:p>
    <w:p>
      <w:pPr>
        <w:pStyle w:val="2"/>
        <w:bidi w:val="0"/>
        <w:rPr>
          <w:rFonts w:hint="eastAsia"/>
          <w:lang w:val="en-US" w:eastAsia="zh-CN"/>
        </w:rPr>
      </w:pPr>
      <w:bookmarkStart w:id="31" w:name="_Toc17285"/>
      <w:r>
        <w:rPr>
          <w:rFonts w:hint="eastAsia"/>
          <w:lang w:val="en-US" w:eastAsia="zh-CN"/>
        </w:rPr>
        <w:t>投诉关闭与回访</w:t>
      </w:r>
      <w:bookmarkEnd w:id="31"/>
    </w:p>
    <w:p>
      <w:pPr>
        <w:pStyle w:val="3"/>
        <w:bidi w:val="0"/>
        <w:rPr>
          <w:rFonts w:hint="eastAsia"/>
          <w:lang w:val="en-US" w:eastAsia="zh-CN"/>
        </w:rPr>
      </w:pPr>
      <w:bookmarkStart w:id="32" w:name="_Toc27534"/>
      <w:r>
        <w:rPr>
          <w:rFonts w:hint="eastAsia"/>
          <w:lang w:val="en-US" w:eastAsia="zh-CN"/>
        </w:rPr>
        <w:t>投诉关闭条件</w:t>
      </w:r>
      <w:bookmarkEnd w:id="32"/>
    </w:p>
    <w:p>
      <w:pPr>
        <w:pStyle w:val="a1"/>
        <w:ind w:left="0" w:right="0" w:firstLine="0" w:leftChars="0" w:rightChars="0" w:firstLineChars="0"/>
        <w:jc w:val="both"/>
        <w:rPr>
          <w:rFonts w:hint="eastAsia"/>
          <w:lang w:val="en-US" w:eastAsia="zh-CN"/>
        </w:rPr>
      </w:pPr>
      <w:r>
        <w:rPr>
          <w:rFonts w:hint="eastAsia"/>
          <w:lang w:val="en-US" w:eastAsia="zh-CN"/>
        </w:rPr>
        <w:t>同时满足以下条件方可关闭投诉：</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投诉问题已得到实质性解决</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客户对处理结果表示满意</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相关改进措施已落实</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所有处理记录完整准确</w:t>
      </w:r>
    </w:p>
    <w:p>
      <w:pPr>
        <w:pStyle w:val="3"/>
        <w:bidi w:val="0"/>
        <w:rPr>
          <w:rFonts w:hint="eastAsia"/>
          <w:lang w:val="en-US" w:eastAsia="zh-CN"/>
        </w:rPr>
      </w:pPr>
      <w:bookmarkStart w:id="33" w:name="_Toc14707"/>
      <w:r>
        <w:rPr>
          <w:rFonts w:hint="eastAsia"/>
          <w:lang w:val="en-US" w:eastAsia="zh-CN"/>
        </w:rPr>
        <w:t>客户回访</w:t>
      </w:r>
      <w:bookmarkEnd w:id="33"/>
    </w:p>
    <w:p>
      <w:pPr>
        <w:pStyle w:val="a1"/>
        <w:ind w:left="0" w:right="0" w:firstLine="0" w:leftChars="0" w:rightChars="0" w:firstLineChars="0"/>
        <w:jc w:val="both"/>
        <w:rPr>
          <w:rFonts w:hint="eastAsia"/>
          <w:lang w:val="en-US" w:eastAsia="zh-CN"/>
        </w:rPr>
      </w:pPr>
      <w:r>
        <w:rPr>
          <w:rFonts w:hint="eastAsia"/>
          <w:lang w:val="en-US" w:eastAsia="zh-CN"/>
        </w:rPr>
        <w:t>投诉关闭后，服务台专员应在3个工作日内进行回访：</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确认问题是否彻底解决</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了解客户对投诉处理的满意度</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收集客户的其他意见和建议</w:t>
      </w:r>
    </w:p>
    <w:p>
      <w:pPr>
        <w:pStyle w:val="2"/>
        <w:bidi w:val="0"/>
        <w:rPr>
          <w:rFonts w:hint="eastAsia"/>
          <w:lang w:val="en-US" w:eastAsia="zh-CN"/>
        </w:rPr>
      </w:pPr>
      <w:bookmarkStart w:id="34" w:name="_Toc10805"/>
      <w:r>
        <w:rPr>
          <w:rFonts w:hint="eastAsia"/>
          <w:lang w:val="en-US" w:eastAsia="zh-CN"/>
        </w:rPr>
        <w:t>投诉分析与改进</w:t>
      </w:r>
      <w:bookmarkEnd w:id="34"/>
    </w:p>
    <w:p>
      <w:pPr>
        <w:pStyle w:val="3"/>
        <w:bidi w:val="0"/>
        <w:rPr>
          <w:rFonts w:hint="eastAsia"/>
          <w:lang w:val="en-US" w:eastAsia="zh-CN"/>
        </w:rPr>
      </w:pPr>
      <w:bookmarkStart w:id="35" w:name="_Toc849"/>
      <w:r>
        <w:rPr>
          <w:rFonts w:hint="eastAsia"/>
          <w:lang w:val="en-US" w:eastAsia="zh-CN"/>
        </w:rPr>
        <w:t>投诉统计分析</w:t>
      </w:r>
      <w:bookmarkEnd w:id="35"/>
    </w:p>
    <w:p>
      <w:pPr>
        <w:pStyle w:val="a1"/>
        <w:ind w:left="0" w:right="0" w:firstLine="0" w:leftChars="0" w:rightChars="0" w:firstLineChars="0"/>
        <w:jc w:val="both"/>
        <w:rPr>
          <w:rFonts w:hint="eastAsia"/>
          <w:lang w:val="en-US" w:eastAsia="zh-CN"/>
        </w:rPr>
      </w:pPr>
      <w:r>
        <w:rPr>
          <w:rFonts w:hint="eastAsia"/>
          <w:lang w:val="en-US" w:eastAsia="zh-CN"/>
        </w:rPr>
        <w:t>质量部每月对投诉情况进行统计分析：</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投诉数量、类型和分布</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投诉处理时效和满意度</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重复投诉和热点问题</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投诉趋势变化分析</w:t>
      </w:r>
    </w:p>
    <w:p>
      <w:pPr>
        <w:pStyle w:val="3"/>
        <w:bidi w:val="0"/>
        <w:rPr>
          <w:rFonts w:hint="eastAsia"/>
          <w:lang w:val="en-US" w:eastAsia="zh-CN"/>
        </w:rPr>
      </w:pPr>
      <w:bookmarkStart w:id="36" w:name="_Toc1477"/>
      <w:r>
        <w:rPr>
          <w:rFonts w:hint="eastAsia"/>
          <w:lang w:val="en-US" w:eastAsia="zh-CN"/>
        </w:rPr>
        <w:t>改进措施</w:t>
      </w:r>
      <w:bookmarkEnd w:id="36"/>
    </w:p>
    <w:p>
      <w:pPr>
        <w:pStyle w:val="a1"/>
        <w:ind w:left="0" w:right="0" w:firstLine="0" w:leftChars="0" w:rightChars="0" w:firstLineChars="0"/>
        <w:jc w:val="both"/>
        <w:rPr>
          <w:rFonts w:hint="eastAsia"/>
          <w:lang w:val="en-US" w:eastAsia="zh-CN"/>
        </w:rPr>
      </w:pPr>
      <w:r>
        <w:rPr>
          <w:rFonts w:hint="eastAsia"/>
          <w:lang w:val="en-US" w:eastAsia="zh-CN"/>
        </w:rPr>
        <w:t>基于投诉分析结果：</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针对系统性问题的制定预防措施</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更新相关流程和规范</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开展专项培训和指导</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将典型案例纳入知识库</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7" w:name="bookmark3"/>
      <w:bookmarkEnd w:id="37"/>
      <w:bookmarkStart w:id="38" w:name="_Toc17424"/>
      <w:bookmarkStart w:id="39" w:name="_Toc25925"/>
      <w:r>
        <w:rPr>
          <w:rStyle w:val="1Char"/>
          <w:rFonts w:eastAsia="宋体" w:hint="eastAsia"/>
          <w:lang w:val="en-US" w:eastAsia="zh-CN"/>
        </w:rPr>
        <w:t>附则</w:t>
      </w:r>
      <w:bookmarkEnd w:id="38"/>
      <w:bookmarkEnd w:id="39"/>
    </w:p>
    <w:p>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0" w:name="bookmark14"/>
      <w:bookmarkEnd w:id="40"/>
      <w:bookmarkStart w:id="41" w:name="_Toc8606"/>
      <w:r>
        <w:rPr>
          <w:rFonts w:hint="eastAsia"/>
          <w:lang w:val="en-US" w:eastAsia="zh-CN"/>
        </w:rPr>
        <w:t>附件</w:t>
      </w:r>
      <w:bookmarkEnd w:id="41"/>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2" w:name="_Toc28087"/>
      <w:r>
        <w:rPr>
          <w:rFonts w:hint="eastAsia"/>
          <w:lang w:val="en-US" w:eastAsia="zh-CN"/>
        </w:rPr>
        <w:t>记录</w:t>
      </w:r>
      <w:bookmarkEnd w:id="42"/>
    </w:p>
    <w:p>
      <w:pPr>
        <w:pStyle w:val="a1"/>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1EFE3AC"/>
    <w:multiLevelType w:val="singleLevel"/>
    <w:tmpl w:val="A1EFE3AC"/>
    <w:lvl w:ilvl="0">
      <w:start w:val="1"/>
      <w:numFmt w:val="decimal"/>
      <w:lvlText w:val="%1."/>
      <w:lvlJc w:val="left"/>
      <w:pPr>
        <w:ind w:left="425" w:hanging="425"/>
      </w:pPr>
      <w:rPr>
        <w:rFonts w:hint="default"/>
      </w:rPr>
    </w:lvl>
  </w:abstractNum>
  <w:abstractNum w:abstractNumId="2">
    <w:nsid w:val="A76A5160"/>
    <w:multiLevelType w:val="singleLevel"/>
    <w:tmpl w:val="A76A5160"/>
    <w:lvl w:ilvl="0">
      <w:start w:val="1"/>
      <w:numFmt w:val="decimal"/>
      <w:lvlText w:val="%1."/>
      <w:lvlJc w:val="left"/>
      <w:pPr>
        <w:ind w:left="425" w:hanging="425"/>
      </w:pPr>
      <w:rPr>
        <w:rFonts w:hint="default"/>
      </w:rPr>
    </w:lvl>
  </w:abstractNum>
  <w:abstractNum w:abstractNumId="3">
    <w:nsid w:val="A95D9BD1"/>
    <w:multiLevelType w:val="singleLevel"/>
    <w:tmpl w:val="A95D9BD1"/>
    <w:lvl w:ilvl="0">
      <w:start w:val="1"/>
      <w:numFmt w:val="decimal"/>
      <w:lvlText w:val="%1."/>
      <w:lvlJc w:val="left"/>
      <w:pPr>
        <w:ind w:left="425" w:hanging="425"/>
      </w:pPr>
      <w:rPr>
        <w:rFonts w:hint="default"/>
      </w:rPr>
    </w:lvl>
  </w:abstractNum>
  <w:abstractNum w:abstractNumId="4">
    <w:nsid w:val="BBC34AC6"/>
    <w:multiLevelType w:val="singleLevel"/>
    <w:tmpl w:val="BBC34AC6"/>
    <w:lvl w:ilvl="0">
      <w:start w:val="1"/>
      <w:numFmt w:val="decimal"/>
      <w:lvlText w:val="%1."/>
      <w:lvlJc w:val="left"/>
      <w:pPr>
        <w:ind w:left="425" w:hanging="425"/>
      </w:pPr>
      <w:rPr>
        <w:rFonts w:hint="default"/>
      </w:rPr>
    </w:lvl>
  </w:abstractNum>
  <w:abstractNum w:abstractNumId="5">
    <w:nsid w:val="D851B34B"/>
    <w:multiLevelType w:val="singleLevel"/>
    <w:tmpl w:val="D851B34B"/>
    <w:lvl w:ilvl="0">
      <w:start w:val="1"/>
      <w:numFmt w:val="decimal"/>
      <w:lvlText w:val="%1."/>
      <w:lvlJc w:val="left"/>
      <w:pPr>
        <w:ind w:left="425" w:hanging="425"/>
      </w:pPr>
      <w:rPr>
        <w:rFonts w:hint="default"/>
      </w:rPr>
    </w:lvl>
  </w:abstractNum>
  <w:abstractNum w:abstractNumId="6">
    <w:nsid w:val="EB960D82"/>
    <w:multiLevelType w:val="singleLevel"/>
    <w:tmpl w:val="EB960D82"/>
    <w:lvl w:ilvl="0">
      <w:start w:val="1"/>
      <w:numFmt w:val="decimal"/>
      <w:lvlText w:val="%1."/>
      <w:lvlJc w:val="left"/>
      <w:pPr>
        <w:ind w:left="425" w:hanging="425"/>
      </w:pPr>
      <w:rPr>
        <w:rFonts w:hint="default"/>
      </w:rPr>
    </w:lvl>
  </w:abstractNum>
  <w:abstractNum w:abstractNumId="7">
    <w:nsid w:val="F9539CF3"/>
    <w:multiLevelType w:val="singleLevel"/>
    <w:tmpl w:val="F9539CF3"/>
    <w:lvl w:ilvl="0">
      <w:start w:val="1"/>
      <w:numFmt w:val="decimal"/>
      <w:lvlText w:val="%1."/>
      <w:lvlJc w:val="left"/>
      <w:pPr>
        <w:ind w:left="425" w:hanging="425"/>
      </w:pPr>
      <w:rPr>
        <w:rFonts w:hint="default"/>
      </w:rPr>
    </w:lvl>
  </w:abstractNum>
  <w:abstractNum w:abstractNumId="8">
    <w:nsid w:val="28F4DE2D"/>
    <w:multiLevelType w:val="singleLevel"/>
    <w:tmpl w:val="28F4DE2D"/>
    <w:lvl w:ilvl="0">
      <w:start w:val="1"/>
      <w:numFmt w:val="decimal"/>
      <w:lvlText w:val="%1."/>
      <w:lvlJc w:val="left"/>
      <w:pPr>
        <w:ind w:left="425" w:hanging="425"/>
      </w:pPr>
      <w:rPr>
        <w:rFonts w:hint="default"/>
      </w:rPr>
    </w:lvl>
  </w:abstractNum>
  <w:abstractNum w:abstractNumId="9">
    <w:nsid w:val="5F960DBE"/>
    <w:multiLevelType w:val="singleLevel"/>
    <w:tmpl w:val="5F960DBE"/>
    <w:lvl w:ilvl="0">
      <w:start w:val="1"/>
      <w:numFmt w:val="decimal"/>
      <w:lvlText w:val="%1."/>
      <w:lvlJc w:val="left"/>
      <w:pPr>
        <w:ind w:left="425" w:hanging="425"/>
      </w:pPr>
      <w:rPr>
        <w:rFonts w:hint="default"/>
      </w:rPr>
    </w:lvl>
  </w:abstractNum>
  <w:abstractNum w:abstractNumId="10">
    <w:nsid w:val="64296DE6"/>
    <w:multiLevelType w:val="singleLevel"/>
    <w:tmpl w:val="64296DE6"/>
    <w:lvl w:ilvl="0">
      <w:start w:val="1"/>
      <w:numFmt w:val="decimal"/>
      <w:lvlText w:val="%1."/>
      <w:lvlJc w:val="left"/>
      <w:pPr>
        <w:ind w:left="425" w:hanging="425"/>
      </w:pPr>
      <w:rPr>
        <w:rFonts w:hint="default"/>
      </w:rPr>
    </w:lvl>
  </w:abstractNum>
  <w:abstractNum w:abstractNumId="11">
    <w:nsid w:val="64D3E83D"/>
    <w:multiLevelType w:val="singleLevel"/>
    <w:tmpl w:val="64D3E83D"/>
    <w:lvl w:ilvl="0">
      <w:start w:val="1"/>
      <w:numFmt w:val="decimal"/>
      <w:lvlText w:val="%1."/>
      <w:lvlJc w:val="left"/>
      <w:pPr>
        <w:ind w:left="425" w:hanging="425"/>
      </w:pPr>
      <w:rPr>
        <w:rFonts w:hint="default"/>
      </w:rPr>
    </w:lvl>
  </w:abstractNum>
  <w:abstractNum w:abstractNumId="12">
    <w:nsid w:val="70A4AD28"/>
    <w:multiLevelType w:val="singleLevel"/>
    <w:tmpl w:val="70A4AD28"/>
    <w:lvl w:ilvl="0">
      <w:start w:val="1"/>
      <w:numFmt w:val="decimal"/>
      <w:lvlText w:val="%1."/>
      <w:lvlJc w:val="left"/>
      <w:pPr>
        <w:ind w:left="425" w:hanging="425"/>
      </w:pPr>
      <w:rPr>
        <w:rFonts w:hint="default"/>
      </w:rPr>
    </w:lvl>
  </w:abstractNum>
  <w:num w:numId="1">
    <w:abstractNumId w:val="0"/>
  </w:num>
  <w:num w:numId="2">
    <w:abstractNumId w:val="8"/>
  </w:num>
  <w:num w:numId="3">
    <w:abstractNumId w:val="9"/>
  </w:num>
  <w:num w:numId="4">
    <w:abstractNumId w:val="3"/>
  </w:num>
  <w:num w:numId="5">
    <w:abstractNumId w:val="1"/>
  </w:num>
  <w:num w:numId="6">
    <w:abstractNumId w:val="6"/>
  </w:num>
  <w:num w:numId="7">
    <w:abstractNumId w:val="10"/>
  </w:num>
  <w:num w:numId="8">
    <w:abstractNumId w:val="5"/>
  </w:num>
  <w:num w:numId="9">
    <w:abstractNumId w:val="11"/>
  </w:num>
  <w:num w:numId="10">
    <w:abstractNumId w:val="2"/>
  </w:num>
  <w:num w:numId="11">
    <w:abstractNumId w:val="4"/>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1861</Words>
  <Characters>2103</Characters>
  <Application>Microsoft Office Word</Application>
  <DocSecurity>0</DocSecurity>
  <Lines>0</Lines>
  <Paragraphs>0</Paragraphs>
  <ScaleCrop>false</ScaleCrop>
  <Company/>
  <LinksUpToDate>false</LinksUpToDate>
  <CharactersWithSpaces>2269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