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48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100"/>
      <w:r>
        <w:rPr>
          <w:rFonts w:hint="eastAsia"/>
          <w:lang w:val="en-US" w:eastAsia="zh-CN"/>
        </w:rPr>
        <w:t>运维服务内审管理制度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_Toc29487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_Toc29487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_Toc20100 </w:instrText>
          </w:r>
          <w:r>
            <w:rPr>
              <w:rFonts w:ascii="宋体" w:eastAsia="宋体" w:hAnsi="宋体" w:cs="宋体" w:hint="eastAsia"/>
              <w:szCs w:val="24"/>
            </w:rPr>
            <w:fldChar w:fldCharType="separate"/>
          </w:r>
          <w:r>
            <w:rPr>
              <w:rFonts w:hint="eastAsia"/>
              <w:lang w:val="en-US" w:eastAsia="zh-CN"/>
            </w:rPr>
            <w:t>运维服务内审管理制度</w:t>
          </w:r>
          <w:r>
            <w:tab/>
          </w:r>
          <w:r>
            <w:fldChar w:fldCharType="begin"/>
          </w:r>
          <w:r>
            <w:instrText xml:space="preserve"> PAGEREF _Toc20100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_Toc12116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_Toc12116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_Toc3690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_Toc3690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_Toc7876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_Toc7876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_Toc3669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_Toc3669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_Toc8570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_Toc8570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_Toc14194 </w:instrText>
          </w:r>
          <w:r>
            <w:rPr>
              <w:rFonts w:ascii="宋体" w:eastAsia="宋体" w:hAnsi="宋体" w:cs="宋体" w:hint="eastAsia"/>
              <w:szCs w:val="24"/>
            </w:rPr>
            <w:fldChar w:fldCharType="separate"/>
          </w:r>
          <w:r>
            <w:rPr>
              <w:rFonts w:hint="default"/>
              <w:lang w:val="en-US" w:eastAsia="zh-CN"/>
            </w:rPr>
            <w:t>1.4.1. 管理者代表</w:t>
          </w:r>
          <w:r>
            <w:tab/>
          </w:r>
          <w:r>
            <w:fldChar w:fldCharType="begin"/>
          </w:r>
          <w:r>
            <w:instrText xml:space="preserve"> PAGEREF _Toc14194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_Toc26757 </w:instrText>
          </w:r>
          <w:r>
            <w:rPr>
              <w:rFonts w:ascii="宋体" w:eastAsia="宋体" w:hAnsi="宋体" w:cs="宋体" w:hint="eastAsia"/>
              <w:szCs w:val="24"/>
            </w:rPr>
            <w:fldChar w:fldCharType="separate"/>
          </w:r>
          <w:r>
            <w:rPr>
              <w:rFonts w:hint="default"/>
              <w:lang w:val="en-US" w:eastAsia="zh-CN"/>
            </w:rPr>
            <w:t>1.4.2. 内审组长</w:t>
          </w:r>
          <w:r>
            <w:tab/>
          </w:r>
          <w:r>
            <w:fldChar w:fldCharType="begin"/>
          </w:r>
          <w:r>
            <w:instrText xml:space="preserve"> PAGEREF _Toc26757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_Toc6343 </w:instrText>
          </w:r>
          <w:r>
            <w:rPr>
              <w:rFonts w:ascii="宋体" w:eastAsia="宋体" w:hAnsi="宋体" w:cs="宋体" w:hint="eastAsia"/>
              <w:szCs w:val="24"/>
            </w:rPr>
            <w:fldChar w:fldCharType="separate"/>
          </w:r>
          <w:r>
            <w:rPr>
              <w:rFonts w:hint="default"/>
              <w:lang w:val="en-US" w:eastAsia="zh-CN"/>
            </w:rPr>
            <w:t>1.4.3. 内审员</w:t>
          </w:r>
          <w:r>
            <w:tab/>
          </w:r>
          <w:r>
            <w:fldChar w:fldCharType="begin"/>
          </w:r>
          <w:r>
            <w:instrText xml:space="preserve"> PAGEREF _Toc6343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_Toc10304 </w:instrText>
          </w:r>
          <w:r>
            <w:rPr>
              <w:rFonts w:ascii="宋体" w:eastAsia="宋体" w:hAnsi="宋体" w:cs="宋体" w:hint="eastAsia"/>
              <w:szCs w:val="24"/>
            </w:rPr>
            <w:fldChar w:fldCharType="separate"/>
          </w:r>
          <w:r>
            <w:rPr>
              <w:rFonts w:hint="default"/>
              <w:lang w:val="en-US" w:eastAsia="zh-CN"/>
            </w:rPr>
            <w:t>1.4.4. 受审部门</w:t>
          </w:r>
          <w:r>
            <w:tab/>
          </w:r>
          <w:r>
            <w:fldChar w:fldCharType="begin"/>
          </w:r>
          <w:r>
            <w:instrText xml:space="preserve"> PAGEREF _Toc10304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_Toc6408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_Toc6408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_Toc10568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_Toc10568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_Toc20524 </w:instrText>
          </w:r>
          <w:r>
            <w:rPr>
              <w:rFonts w:ascii="宋体" w:eastAsia="宋体" w:hAnsi="宋体" w:cs="宋体" w:hint="eastAsia"/>
              <w:szCs w:val="24"/>
            </w:rPr>
            <w:fldChar w:fldCharType="separate"/>
          </w:r>
          <w:r>
            <w:rPr>
              <w:rFonts w:hint="default"/>
            </w:rPr>
            <w:t xml:space="preserve">3.1. </w:t>
          </w:r>
          <w:r>
            <w:rPr>
              <w:rFonts w:hint="eastAsia"/>
            </w:rPr>
            <w:t>内部审核</w:t>
          </w:r>
          <w:r>
            <w:tab/>
          </w:r>
          <w:r>
            <w:fldChar w:fldCharType="begin"/>
          </w:r>
          <w:r>
            <w:instrText xml:space="preserve"> PAGEREF _Toc20524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_Toc5700 </w:instrText>
          </w:r>
          <w:r>
            <w:rPr>
              <w:rFonts w:ascii="宋体" w:eastAsia="宋体" w:hAnsi="宋体" w:cs="宋体" w:hint="eastAsia"/>
              <w:szCs w:val="24"/>
            </w:rPr>
            <w:fldChar w:fldCharType="separate"/>
          </w:r>
          <w:r>
            <w:rPr>
              <w:rFonts w:hint="default"/>
            </w:rPr>
            <w:t xml:space="preserve">3.2. </w:t>
          </w:r>
          <w:r>
            <w:rPr>
              <w:rFonts w:hint="eastAsia"/>
            </w:rPr>
            <w:t>不符合项</w:t>
          </w:r>
          <w:r>
            <w:tab/>
          </w:r>
          <w:r>
            <w:fldChar w:fldCharType="begin"/>
          </w:r>
          <w:r>
            <w:instrText xml:space="preserve"> PAGEREF _Toc5700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_Toc3751 </w:instrText>
          </w:r>
          <w:r>
            <w:rPr>
              <w:rFonts w:ascii="宋体" w:eastAsia="宋体" w:hAnsi="宋体" w:cs="宋体" w:hint="eastAsia"/>
              <w:szCs w:val="24"/>
            </w:rPr>
            <w:fldChar w:fldCharType="separate"/>
          </w:r>
          <w:r>
            <w:rPr>
              <w:rFonts w:hint="default"/>
            </w:rPr>
            <w:t xml:space="preserve">3.3. </w:t>
          </w:r>
          <w:r>
            <w:rPr>
              <w:rFonts w:hint="eastAsia"/>
            </w:rPr>
            <w:t>观察项</w:t>
          </w:r>
          <w:r>
            <w:tab/>
          </w:r>
          <w:r>
            <w:fldChar w:fldCharType="begin"/>
          </w:r>
          <w:r>
            <w:instrText xml:space="preserve"> PAGEREF _Toc3751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_Toc5295 </w:instrText>
          </w:r>
          <w:r>
            <w:rPr>
              <w:rFonts w:ascii="宋体" w:eastAsia="宋体" w:hAnsi="宋体" w:cs="宋体" w:hint="eastAsia"/>
              <w:szCs w:val="24"/>
            </w:rPr>
            <w:fldChar w:fldCharType="separate"/>
          </w:r>
          <w:r>
            <w:rPr>
              <w:rFonts w:hint="default"/>
            </w:rPr>
            <w:t xml:space="preserve">3.4. </w:t>
          </w:r>
          <w:r>
            <w:rPr>
              <w:rFonts w:hint="eastAsia"/>
            </w:rPr>
            <w:t>纠正措施</w:t>
          </w:r>
          <w:r>
            <w:tab/>
          </w:r>
          <w:r>
            <w:fldChar w:fldCharType="begin"/>
          </w:r>
          <w:r>
            <w:instrText xml:space="preserve"> PAGEREF _Toc5295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_Toc1904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_Toc1904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_Toc26960 </w:instrText>
          </w:r>
          <w:r>
            <w:rPr>
              <w:rFonts w:ascii="宋体" w:eastAsia="宋体" w:hAnsi="宋体" w:cs="宋体" w:hint="eastAsia"/>
              <w:szCs w:val="24"/>
            </w:rPr>
            <w:fldChar w:fldCharType="separate"/>
          </w:r>
          <w:r>
            <w:rPr>
              <w:rFonts w:hint="default"/>
              <w:lang w:val="en-US" w:eastAsia="zh-CN"/>
            </w:rPr>
            <w:t>4.1. 内审策划</w:t>
          </w:r>
          <w:r>
            <w:tab/>
          </w:r>
          <w:r>
            <w:fldChar w:fldCharType="begin"/>
          </w:r>
          <w:r>
            <w:instrText xml:space="preserve"> PAGEREF _Toc26960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_Toc31549 </w:instrText>
          </w:r>
          <w:r>
            <w:rPr>
              <w:rFonts w:ascii="宋体" w:eastAsia="宋体" w:hAnsi="宋体" w:cs="宋体" w:hint="eastAsia"/>
              <w:szCs w:val="24"/>
            </w:rPr>
            <w:fldChar w:fldCharType="separate"/>
          </w:r>
          <w:r>
            <w:rPr>
              <w:rFonts w:hint="default"/>
              <w:lang w:val="en-US" w:eastAsia="zh-CN"/>
            </w:rPr>
            <w:t>4.1.1. 内审频次</w:t>
          </w:r>
          <w:r>
            <w:tab/>
          </w:r>
          <w:r>
            <w:fldChar w:fldCharType="begin"/>
          </w:r>
          <w:r>
            <w:instrText xml:space="preserve"> PAGEREF _Toc31549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_Toc11515 </w:instrText>
          </w:r>
          <w:r>
            <w:rPr>
              <w:rFonts w:ascii="宋体" w:eastAsia="宋体" w:hAnsi="宋体" w:cs="宋体" w:hint="eastAsia"/>
              <w:szCs w:val="24"/>
            </w:rPr>
            <w:fldChar w:fldCharType="separate"/>
          </w:r>
          <w:r>
            <w:rPr>
              <w:rFonts w:hint="default"/>
              <w:lang w:val="en-US" w:eastAsia="zh-CN"/>
            </w:rPr>
            <w:t>4.1.2. 内审计划</w:t>
          </w:r>
          <w:r>
            <w:tab/>
          </w:r>
          <w:r>
            <w:fldChar w:fldCharType="begin"/>
          </w:r>
          <w:r>
            <w:instrText xml:space="preserve"> PAGEREF _Toc11515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_Toc30366 </w:instrText>
          </w:r>
          <w:r>
            <w:rPr>
              <w:rFonts w:ascii="宋体" w:eastAsia="宋体" w:hAnsi="宋体" w:cs="宋体" w:hint="eastAsia"/>
              <w:szCs w:val="24"/>
            </w:rPr>
            <w:fldChar w:fldCharType="separate"/>
          </w:r>
          <w:r>
            <w:rPr>
              <w:rFonts w:hint="default"/>
              <w:lang w:val="en-US" w:eastAsia="zh-CN"/>
            </w:rPr>
            <w:t>4.2. 内审准备</w:t>
          </w:r>
          <w:r>
            <w:tab/>
          </w:r>
          <w:r>
            <w:fldChar w:fldCharType="begin"/>
          </w:r>
          <w:r>
            <w:instrText xml:space="preserve"> PAGEREF _Toc30366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_Toc31953 </w:instrText>
          </w:r>
          <w:r>
            <w:rPr>
              <w:rFonts w:ascii="宋体" w:eastAsia="宋体" w:hAnsi="宋体" w:cs="宋体" w:hint="eastAsia"/>
              <w:szCs w:val="24"/>
            </w:rPr>
            <w:fldChar w:fldCharType="separate"/>
          </w:r>
          <w:r>
            <w:rPr>
              <w:rFonts w:hint="default"/>
              <w:lang w:val="en-US" w:eastAsia="zh-CN"/>
            </w:rPr>
            <w:t>4.2.1. 组建审核组</w:t>
          </w:r>
          <w:r>
            <w:tab/>
          </w:r>
          <w:r>
            <w:fldChar w:fldCharType="begin"/>
          </w:r>
          <w:r>
            <w:instrText xml:space="preserve"> PAGEREF _Toc31953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_Toc469 </w:instrText>
          </w:r>
          <w:r>
            <w:rPr>
              <w:rFonts w:ascii="宋体" w:eastAsia="宋体" w:hAnsi="宋体" w:cs="宋体" w:hint="eastAsia"/>
              <w:szCs w:val="24"/>
            </w:rPr>
            <w:fldChar w:fldCharType="separate"/>
          </w:r>
          <w:r>
            <w:rPr>
              <w:rFonts w:hint="default"/>
              <w:lang w:val="en-US" w:eastAsia="zh-CN"/>
            </w:rPr>
            <w:t>4.2.2. 编制审核文件</w:t>
          </w:r>
          <w:r>
            <w:tab/>
          </w:r>
          <w:r>
            <w:fldChar w:fldCharType="begin"/>
          </w:r>
          <w:r>
            <w:instrText xml:space="preserve"> PAGEREF _Toc469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_Toc10529 </w:instrText>
          </w:r>
          <w:r>
            <w:rPr>
              <w:rFonts w:ascii="宋体" w:eastAsia="宋体" w:hAnsi="宋体" w:cs="宋体" w:hint="eastAsia"/>
              <w:szCs w:val="24"/>
            </w:rPr>
            <w:fldChar w:fldCharType="separate"/>
          </w:r>
          <w:r>
            <w:rPr>
              <w:rFonts w:hint="default"/>
              <w:lang w:val="en-US" w:eastAsia="zh-CN"/>
            </w:rPr>
            <w:t>4.2.3. 审核前沟通</w:t>
          </w:r>
          <w:r>
            <w:tab/>
          </w:r>
          <w:r>
            <w:fldChar w:fldCharType="begin"/>
          </w:r>
          <w:r>
            <w:instrText xml:space="preserve"> PAGEREF _Toc10529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_Toc22693 </w:instrText>
          </w:r>
          <w:r>
            <w:rPr>
              <w:rFonts w:ascii="宋体" w:eastAsia="宋体" w:hAnsi="宋体" w:cs="宋体" w:hint="eastAsia"/>
              <w:szCs w:val="24"/>
            </w:rPr>
            <w:fldChar w:fldCharType="separate"/>
          </w:r>
          <w:r>
            <w:rPr>
              <w:rFonts w:hint="default"/>
              <w:lang w:val="en-US" w:eastAsia="zh-CN"/>
            </w:rPr>
            <w:t>4.3. 内审实施</w:t>
          </w:r>
          <w:r>
            <w:tab/>
          </w:r>
          <w:r>
            <w:fldChar w:fldCharType="begin"/>
          </w:r>
          <w:r>
            <w:instrText xml:space="preserve"> PAGEREF _Toc22693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_Toc16523 </w:instrText>
          </w:r>
          <w:r>
            <w:rPr>
              <w:rFonts w:ascii="宋体" w:eastAsia="宋体" w:hAnsi="宋体" w:cs="宋体" w:hint="eastAsia"/>
              <w:szCs w:val="24"/>
            </w:rPr>
            <w:fldChar w:fldCharType="separate"/>
          </w:r>
          <w:r>
            <w:rPr>
              <w:rFonts w:hint="default"/>
              <w:lang w:val="en-US" w:eastAsia="zh-CN"/>
            </w:rPr>
            <w:t>4.3.1. 首次会议</w:t>
          </w:r>
          <w:r>
            <w:tab/>
          </w:r>
          <w:r>
            <w:fldChar w:fldCharType="begin"/>
          </w:r>
          <w:r>
            <w:instrText xml:space="preserve"> PAGEREF _Toc16523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_Toc12659 </w:instrText>
          </w:r>
          <w:r>
            <w:rPr>
              <w:rFonts w:ascii="宋体" w:eastAsia="宋体" w:hAnsi="宋体" w:cs="宋体" w:hint="eastAsia"/>
              <w:szCs w:val="24"/>
            </w:rPr>
            <w:fldChar w:fldCharType="separate"/>
          </w:r>
          <w:r>
            <w:rPr>
              <w:rFonts w:hint="default"/>
              <w:lang w:val="en-US" w:eastAsia="zh-CN"/>
            </w:rPr>
            <w:t>4.3.2. 现场审核</w:t>
          </w:r>
          <w:r>
            <w:tab/>
          </w:r>
          <w:r>
            <w:fldChar w:fldCharType="begin"/>
          </w:r>
          <w:r>
            <w:instrText xml:space="preserve"> PAGEREF _Toc12659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 </w:instrText>
          </w:r>
          <w:r>
            <w:rPr>
              <w:rFonts w:ascii="宋体" w:eastAsia="宋体" w:hAnsi="宋体" w:cs="宋体" w:hint="eastAsia"/>
              <w:szCs w:val="24"/>
            </w:rPr>
            <w:fldChar w:fldCharType="separate"/>
          </w:r>
          <w:r>
            <w:rPr>
              <w:rFonts w:hint="default"/>
              <w:lang w:val="en-US" w:eastAsia="zh-CN"/>
            </w:rPr>
            <w:t>4.3.3. 审核发现评定</w:t>
          </w:r>
          <w:r>
            <w:tab/>
          </w:r>
          <w:r>
            <w:fldChar w:fldCharType="begin"/>
          </w:r>
          <w:r>
            <w:instrText xml:space="preserve"> PAGEREF _Toc288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_Toc5725 </w:instrText>
          </w:r>
          <w:r>
            <w:rPr>
              <w:rFonts w:ascii="宋体" w:eastAsia="宋体" w:hAnsi="宋体" w:cs="宋体" w:hint="eastAsia"/>
              <w:szCs w:val="24"/>
            </w:rPr>
            <w:fldChar w:fldCharType="separate"/>
          </w:r>
          <w:r>
            <w:rPr>
              <w:rFonts w:hint="default"/>
              <w:lang w:val="en-US" w:eastAsia="zh-CN"/>
            </w:rPr>
            <w:t>4.4. 审核报告与跟踪</w:t>
          </w:r>
          <w:r>
            <w:tab/>
          </w:r>
          <w:r>
            <w:fldChar w:fldCharType="begin"/>
          </w:r>
          <w:r>
            <w:instrText xml:space="preserve"> PAGEREF _Toc5725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_Toc18316 </w:instrText>
          </w:r>
          <w:r>
            <w:rPr>
              <w:rFonts w:ascii="宋体" w:eastAsia="宋体" w:hAnsi="宋体" w:cs="宋体" w:hint="eastAsia"/>
              <w:szCs w:val="24"/>
            </w:rPr>
            <w:fldChar w:fldCharType="separate"/>
          </w:r>
          <w:r>
            <w:rPr>
              <w:rFonts w:hint="default"/>
              <w:lang w:val="en-US" w:eastAsia="zh-CN"/>
            </w:rPr>
            <w:t>4.4.1. 末次会议</w:t>
          </w:r>
          <w:r>
            <w:tab/>
          </w:r>
          <w:r>
            <w:fldChar w:fldCharType="begin"/>
          </w:r>
          <w:r>
            <w:instrText xml:space="preserve"> PAGEREF _Toc18316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_Toc10303 </w:instrText>
          </w:r>
          <w:r>
            <w:rPr>
              <w:rFonts w:ascii="宋体" w:eastAsia="宋体" w:hAnsi="宋体" w:cs="宋体" w:hint="eastAsia"/>
              <w:szCs w:val="24"/>
            </w:rPr>
            <w:fldChar w:fldCharType="separate"/>
          </w:r>
          <w:r>
            <w:rPr>
              <w:rFonts w:hint="default"/>
              <w:lang w:val="en-US" w:eastAsia="zh-CN"/>
            </w:rPr>
            <w:t>4.4.2. 审核报告</w:t>
          </w:r>
          <w:r>
            <w:tab/>
          </w:r>
          <w:r>
            <w:fldChar w:fldCharType="begin"/>
          </w:r>
          <w:r>
            <w:instrText xml:space="preserve"> PAGEREF _Toc10303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_Toc5265 </w:instrText>
          </w:r>
          <w:r>
            <w:rPr>
              <w:rFonts w:ascii="宋体" w:eastAsia="宋体" w:hAnsi="宋体" w:cs="宋体" w:hint="eastAsia"/>
              <w:szCs w:val="24"/>
            </w:rPr>
            <w:fldChar w:fldCharType="separate"/>
          </w:r>
          <w:r>
            <w:rPr>
              <w:rFonts w:hint="default"/>
              <w:lang w:val="en-US" w:eastAsia="zh-CN"/>
            </w:rPr>
            <w:t>4.4.3. 纠正措施跟踪</w:t>
          </w:r>
          <w:r>
            <w:tab/>
          </w:r>
          <w:r>
            <w:fldChar w:fldCharType="begin"/>
          </w:r>
          <w:r>
            <w:instrText xml:space="preserve"> PAGEREF _Toc5265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_Toc8901 </w:instrText>
          </w:r>
          <w:r>
            <w:rPr>
              <w:rFonts w:ascii="宋体" w:eastAsia="宋体" w:hAnsi="宋体" w:cs="宋体" w:hint="eastAsia"/>
              <w:szCs w:val="24"/>
            </w:rPr>
            <w:fldChar w:fldCharType="separate"/>
          </w:r>
          <w:r>
            <w:rPr>
              <w:rFonts w:hint="default"/>
              <w:lang w:val="en-US" w:eastAsia="zh-CN"/>
            </w:rPr>
            <w:t>4.5. 记录管理</w:t>
          </w:r>
          <w:r>
            <w:tab/>
          </w:r>
          <w:r>
            <w:fldChar w:fldCharType="begin"/>
          </w:r>
          <w:r>
            <w:instrText xml:space="preserve"> PAGEREF _Toc8901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_Toc17246 </w:instrText>
          </w:r>
          <w:r>
            <w:rPr>
              <w:rFonts w:ascii="宋体" w:eastAsia="宋体" w:hAnsi="宋体" w:cs="宋体" w:hint="eastAsia"/>
              <w:szCs w:val="24"/>
            </w:rPr>
            <w:fldChar w:fldCharType="separate"/>
          </w:r>
          <w:r>
            <w:rPr>
              <w:rFonts w:hint="default"/>
              <w:lang w:val="en-US" w:eastAsia="zh-CN"/>
            </w:rPr>
            <w:t>4.5.1. 记录要求</w:t>
          </w:r>
          <w:r>
            <w:tab/>
          </w:r>
          <w:r>
            <w:fldChar w:fldCharType="begin"/>
          </w:r>
          <w:r>
            <w:instrText xml:space="preserve"> PAGEREF _Toc17246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_Toc29158 </w:instrText>
          </w:r>
          <w:r>
            <w:rPr>
              <w:rFonts w:ascii="宋体" w:eastAsia="宋体" w:hAnsi="宋体" w:cs="宋体" w:hint="eastAsia"/>
              <w:szCs w:val="24"/>
            </w:rPr>
            <w:fldChar w:fldCharType="separate"/>
          </w:r>
          <w:r>
            <w:rPr>
              <w:rFonts w:hint="default"/>
              <w:lang w:val="en-US" w:eastAsia="zh-CN"/>
            </w:rPr>
            <w:t>4.5.2. 归档管理</w:t>
          </w:r>
          <w:r>
            <w:tab/>
          </w:r>
          <w:r>
            <w:fldChar w:fldCharType="begin"/>
          </w:r>
          <w:r>
            <w:instrText xml:space="preserve"> PAGEREF _Toc29158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_Toc8064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_Toc8064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_Toc27791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_Toc27791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_Toc16257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_Toc16257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12116"/>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3690"/>
      <w:r>
        <w:rPr>
          <w:rFonts w:hint="eastAsia"/>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为规范公司运维服务管理体系的内部审核工作，系统评价运维服务活动对ITSS标准的符合性和有效性，及时发现体系运行中存在的问题，推动持续改进，确保管理体系持续有效运行，特制定本制度。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7876"/>
      <w:r>
        <w:rPr>
          <w:rFonts w:hint="eastAsia"/>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本制度适用于天津图云智能科技有限公司运维服务管理体系覆盖的所有部门及服务全过程的内审活动。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3669"/>
      <w:r>
        <w:rPr>
          <w:rFonts w:hint="eastAsia"/>
          <w:lang w:val="en-US" w:eastAsia="zh-CN"/>
        </w:rPr>
        <w:t>原则</w:t>
      </w:r>
      <w:bookmarkEnd w:id="5"/>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客观公正：基于客观证据，公正开展审核活动</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系统规范：遵循系统方法，规范执行审核程序</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持续改进：注重问题改进，推动体系持续完善</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专业胜任：确保审核人员具备相应资质和能力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8570"/>
      <w:r>
        <w:rPr>
          <w:rFonts w:hint="eastAsia"/>
          <w:lang w:val="en-US" w:eastAsia="zh-CN"/>
        </w:rPr>
        <w:t>岗位职责</w:t>
      </w:r>
      <w:bookmarkEnd w:id="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4194"/>
      <w:r>
        <w:rPr>
          <w:rFonts w:hint="default"/>
          <w:lang w:val="en-US" w:eastAsia="zh-CN"/>
        </w:rPr>
        <w:t>管理者代表</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负责内审工作的总体策划和资源保障，任命内审组长</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26757"/>
      <w:r>
        <w:rPr>
          <w:rFonts w:hint="default"/>
          <w:lang w:val="en-US" w:eastAsia="zh-CN"/>
        </w:rPr>
        <w:t>内审组长</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负责具体内审活动的组织与实施，编制审核计划，组织编写审核报告</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6343"/>
      <w:r>
        <w:rPr>
          <w:rFonts w:hint="default"/>
          <w:lang w:val="en-US" w:eastAsia="zh-CN"/>
        </w:rPr>
        <w:t>内审员</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按分工实施审核活动，收集审核证据，报告审核发现</w:t>
      </w:r>
      <w:r>
        <w:rPr>
          <w:rFonts w:hint="eastAsia"/>
          <w:lang w:val="en-US" w:eastAsia="zh-CN"/>
        </w:rPr>
        <w:t>问题。一般由各运维相关部门经理担任</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0304"/>
      <w:r>
        <w:rPr>
          <w:rFonts w:hint="default"/>
          <w:lang w:val="en-US" w:eastAsia="zh-CN"/>
        </w:rPr>
        <w:t>受审部门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配合内审工作，提供所需资源，实施纠正措施</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6408"/>
      <w:r>
        <w:rPr>
          <w:rFonts w:hint="eastAsia"/>
          <w:lang w:val="en-US" w:eastAsia="zh-CN"/>
        </w:rPr>
        <w:t>引用依据</w:t>
      </w:r>
      <w:bookmarkEnd w:id="11"/>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2" w:name="_Toc10568"/>
      <w:r>
        <w:rPr>
          <w:rFonts w:hint="eastAsia"/>
          <w:lang w:val="en-US" w:eastAsia="zh-CN"/>
        </w:rPr>
        <w:t>定义与术语</w:t>
      </w:r>
      <w:bookmarkEnd w:id="1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20524"/>
      <w:r>
        <w:rPr>
          <w:rFonts w:hint="eastAsia"/>
        </w:rPr>
        <w:t>内部审核</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为获得审核证据并对其进行客观评价，以确定满足审核准则的程度所进行的系统的、独立的并形成文件的过程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5700"/>
      <w:r>
        <w:rPr>
          <w:rFonts w:hint="eastAsia"/>
        </w:rPr>
        <w:t>不符合项</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未满足规范、标准或体系文件要求的情况</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751"/>
      <w:r>
        <w:rPr>
          <w:rFonts w:hint="eastAsia"/>
        </w:rPr>
        <w:t>观察项</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虽未构成不符合，但存在潜在风险或需关注的情况</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5295"/>
      <w:r>
        <w:rPr>
          <w:rFonts w:hint="eastAsia"/>
        </w:rPr>
        <w:t>纠正措施</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为消除已发现的不合格或其他不期望情况的原因所采取的措施</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1904"/>
      <w:r>
        <w:rPr>
          <w:rFonts w:hint="eastAsia"/>
          <w:lang w:val="en-US" w:eastAsia="zh-CN"/>
        </w:rPr>
        <w:t>管理内容与要求</w:t>
      </w:r>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6960"/>
      <w:r>
        <w:rPr>
          <w:rFonts w:hint="default"/>
          <w:lang w:val="en-US" w:eastAsia="zh-CN"/>
        </w:rPr>
        <w:t>内审策划</w:t>
      </w:r>
      <w:bookmarkEnd w:id="18"/>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31549"/>
      <w:r>
        <w:rPr>
          <w:rFonts w:hint="default"/>
          <w:lang w:val="en-US" w:eastAsia="zh-CN"/>
        </w:rPr>
        <w:t>内审频次</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常规内审每年至少进行一次，间隔不超过12个月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在下列情况下应增加临时内审：</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组织机构发生重大调整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管理体系发生重大变化</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发生重大质量事故或客户重大投诉</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认证审核前</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业务发生重大变更时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11515"/>
      <w:r>
        <w:rPr>
          <w:rFonts w:hint="default"/>
          <w:lang w:val="en-US" w:eastAsia="zh-CN"/>
        </w:rPr>
        <w:t>内审计划</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内审组长应根据体系运行情况和上次审核结果，编制年度内审计划，内容包括：</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审核目的、范围和准则</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受审部门和审核时间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审核组组成及分工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资源需求安排</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30366"/>
      <w:r>
        <w:rPr>
          <w:rFonts w:hint="default"/>
          <w:lang w:val="en-US" w:eastAsia="zh-CN"/>
        </w:rPr>
        <w:t>内审准备</w:t>
      </w:r>
      <w:bookmarkEnd w:id="21"/>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31953"/>
      <w:r>
        <w:rPr>
          <w:rFonts w:hint="default"/>
          <w:lang w:val="en-US" w:eastAsia="zh-CN"/>
        </w:rPr>
        <w:t>组建审核组</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管理者代表任命具有相应资质的内审组长</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内审组长选拔具备资格的内审员组成审核组</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确保审核员与被审部门无直接责任关系</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469"/>
      <w:r>
        <w:rPr>
          <w:rFonts w:hint="default"/>
          <w:lang w:val="en-US" w:eastAsia="zh-CN"/>
        </w:rPr>
        <w:t>编制审核文件</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制定具体的内审实施计划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编制内审检查表，明确检查内容和抽样方案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准备审核所需的记录表格和文件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0529"/>
      <w:r>
        <w:rPr>
          <w:rFonts w:hint="default"/>
          <w:lang w:val="en-US" w:eastAsia="zh-CN"/>
        </w:rPr>
        <w:t>审核前沟通</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提前5个工作日向受审部门下发审核计划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确认审核安排和陪同人员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协调解决受审部门提出的问题</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2693"/>
      <w:r>
        <w:rPr>
          <w:rFonts w:hint="default"/>
          <w:lang w:val="en-US" w:eastAsia="zh-CN"/>
        </w:rPr>
        <w:t>内审实施</w:t>
      </w:r>
      <w:bookmarkEnd w:id="25"/>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16523"/>
      <w:r>
        <w:rPr>
          <w:rFonts w:hint="default"/>
          <w:lang w:val="en-US" w:eastAsia="zh-CN"/>
        </w:rPr>
        <w:t>首次会议</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审核组长介绍审核目的、范围和计划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确认审核安排和沟通渠道</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受审部门介绍准备情况和配合人员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2659"/>
      <w:r>
        <w:rPr>
          <w:rFonts w:hint="default"/>
          <w:lang w:val="en-US" w:eastAsia="zh-CN"/>
        </w:rPr>
        <w:t>现场审核</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通过访谈、观察、查阅记录等方式收集证据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依据检查表逐项检查体系运行情况</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记录符合和不符合的客观证据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发现问题时与受审部门负责人确认</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288"/>
      <w:r>
        <w:rPr>
          <w:rFonts w:hint="default"/>
          <w:lang w:val="en-US" w:eastAsia="zh-CN"/>
        </w:rPr>
        <w:t>审核发现评定</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对照审核准则评定审核发现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将问题分为重大不符合、一般不符合和观察项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确保发现问题描述准确、证据充分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5725"/>
      <w:r>
        <w:rPr>
          <w:rFonts w:hint="default"/>
          <w:lang w:val="en-US" w:eastAsia="zh-CN"/>
        </w:rPr>
        <w:t>审核报告与跟踪</w:t>
      </w:r>
      <w:bookmarkEnd w:id="29"/>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18316"/>
      <w:r>
        <w:rPr>
          <w:rFonts w:hint="default"/>
          <w:lang w:val="en-US" w:eastAsia="zh-CN"/>
        </w:rPr>
        <w:t>末次会议</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报告审核发现和审核结论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确认不符合项事实</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商定纠正措施完成时限</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10303"/>
      <w:r>
        <w:rPr>
          <w:rFonts w:hint="default"/>
          <w:lang w:val="en-US" w:eastAsia="zh-CN"/>
        </w:rPr>
        <w:t>审核报告</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内审组长在审核后5个工作日内完成内审报告，内容包括：</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审核概况和范围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审核发现综述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不符合项分布情况</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体系有效性评价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改进建议</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5265"/>
      <w:r>
        <w:rPr>
          <w:rFonts w:hint="default"/>
          <w:lang w:val="en-US" w:eastAsia="zh-CN"/>
        </w:rPr>
        <w:t>纠正措施跟踪</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受审部门在3个工作日内制定纠正措施计划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内审组对措施有效性进行验证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对未达到预期效果的措施要求重新制定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8901"/>
      <w:r>
        <w:rPr>
          <w:rFonts w:hint="default"/>
          <w:lang w:val="en-US" w:eastAsia="zh-CN"/>
        </w:rPr>
        <w:t>记录管理</w:t>
      </w:r>
      <w:bookmarkEnd w:id="33"/>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17246"/>
      <w:r>
        <w:rPr>
          <w:rFonts w:hint="default"/>
          <w:lang w:val="en-US" w:eastAsia="zh-CN"/>
        </w:rPr>
        <w:t>记录要求</w:t>
      </w:r>
      <w:bookmarkEnd w:id="3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所有内审活动应保持完整记录，包括：</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bookmarkStart w:id="35" w:name="_GoBack"/>
      <w:r>
        <w:rPr>
          <w:rFonts w:hint="default"/>
          <w:lang w:val="en-US" w:eastAsia="zh-CN"/>
        </w:rPr>
        <w:t>内审计划及检查表</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会议和审核记录</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纠正措施验证记录</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End w:id="35"/>
      <w:bookmarkStart w:id="36" w:name="_Toc29158"/>
      <w:r>
        <w:rPr>
          <w:rFonts w:hint="default"/>
          <w:lang w:val="en-US" w:eastAsia="zh-CN"/>
        </w:rPr>
        <w:t>归档管理</w:t>
      </w:r>
      <w:bookmarkEnd w:id="3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内审组长在末次会议后5个工作日内整理记录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所有记录提交管理者代表审批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完整记录由质量部统一归档保存</w:t>
      </w:r>
    </w:p>
    <w:p>
      <w:pPr>
        <w:pStyle w:val="2"/>
        <w:bidi w:val="0"/>
        <w:rPr>
          <w:rFonts w:hint="default"/>
          <w:lang w:val="en-US" w:eastAsia="zh-CN"/>
        </w:rPr>
      </w:pPr>
      <w:bookmarkStart w:id="37" w:name="_Toc8064"/>
      <w:r>
        <w:rPr>
          <w:rFonts w:hint="eastAsia"/>
          <w:lang w:val="en-US" w:eastAsia="zh-CN"/>
        </w:rPr>
        <w:t>考核指标</w:t>
      </w:r>
      <w:bookmarkEnd w:id="37"/>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3265"/>
        <w:gridCol w:w="996"/>
        <w:gridCol w:w="213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widowControl w:val="0"/>
              <w:rPr>
                <w:rFonts w:hint="default"/>
                <w:vertAlign w:val="baseline"/>
                <w:lang w:val="en-US" w:eastAsia="zh-CN"/>
              </w:rPr>
            </w:pPr>
            <w:r>
              <w:rPr>
                <w:rFonts w:hint="eastAsia"/>
                <w:vertAlign w:val="baseline"/>
                <w:lang w:val="en-US" w:eastAsia="zh-CN"/>
              </w:rPr>
              <w:t>指标名称</w:t>
            </w:r>
          </w:p>
        </w:tc>
        <w:tc>
          <w:tcPr>
            <w:tcW w:w="3265" w:type="dxa"/>
          </w:tcPr>
          <w:p>
            <w:pPr>
              <w:pStyle w:val="a1"/>
              <w:widowControl w:val="0"/>
              <w:rPr>
                <w:rFonts w:hint="default"/>
                <w:vertAlign w:val="baseline"/>
                <w:lang w:val="en-US" w:eastAsia="zh-CN"/>
              </w:rPr>
            </w:pPr>
            <w:r>
              <w:rPr>
                <w:rFonts w:hint="eastAsia"/>
                <w:vertAlign w:val="baseline"/>
                <w:lang w:val="en-US" w:eastAsia="zh-CN"/>
              </w:rPr>
              <w:t>计算方式</w:t>
            </w:r>
          </w:p>
        </w:tc>
        <w:tc>
          <w:tcPr>
            <w:tcW w:w="996" w:type="dxa"/>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频次</w:t>
            </w:r>
          </w:p>
        </w:tc>
        <w:tc>
          <w:tcPr>
            <w:tcW w:w="2131" w:type="dxa"/>
          </w:tcPr>
          <w:p>
            <w:pPr>
              <w:pStyle w:val="a1"/>
              <w:widowControl w:val="0"/>
              <w:rPr>
                <w:rFonts w:hint="default"/>
                <w:vertAlign w:val="baseline"/>
                <w:lang w:val="en-US" w:eastAsia="zh-CN"/>
              </w:rPr>
            </w:pPr>
            <w:r>
              <w:rPr>
                <w:rFonts w:hint="eastAsia"/>
                <w:vertAlign w:val="baseline"/>
                <w:lang w:val="en-US" w:eastAsia="zh-CN"/>
              </w:rPr>
              <w:t>目标值</w:t>
            </w:r>
          </w:p>
        </w:tc>
      </w:tr>
      <w:tr>
        <w:tblPrEx>
          <w:tblW w:w="8522" w:type="dxa"/>
          <w:tblInd w:w="0" w:type="dxa"/>
          <w:tblCellMar>
            <w:top w:w="0" w:type="dxa"/>
            <w:left w:w="108" w:type="dxa"/>
            <w:bottom w:w="0" w:type="dxa"/>
            <w:right w:w="108" w:type="dxa"/>
          </w:tblCellMar>
        </w:tblPrEx>
        <w:tc>
          <w:tcPr>
            <w:tcW w:w="2130" w:type="dxa"/>
            <w:shd w:val="clear" w:color="auto" w:fill="auto"/>
          </w:tcPr>
          <w:p>
            <w:pPr>
              <w:pStyle w:val="a1"/>
              <w:widowControl w:val="0"/>
              <w:rPr>
                <w:rFonts w:hint="default"/>
                <w:vertAlign w:val="baseline"/>
                <w:lang w:val="en-US" w:eastAsia="zh-CN"/>
              </w:rPr>
            </w:pPr>
            <w:r>
              <w:rPr>
                <w:rFonts w:hint="eastAsia"/>
                <w:vertAlign w:val="baseline"/>
                <w:lang w:val="en-US" w:eastAsia="zh-CN"/>
              </w:rPr>
              <w:t>内审次数</w:t>
            </w:r>
          </w:p>
        </w:tc>
        <w:tc>
          <w:tcPr>
            <w:tcW w:w="3265" w:type="dxa"/>
            <w:shd w:val="clear" w:color="auto" w:fill="auto"/>
          </w:tcPr>
          <w:p>
            <w:pPr>
              <w:pStyle w:val="a1"/>
              <w:widowControl w:val="0"/>
              <w:rPr>
                <w:rFonts w:hint="default"/>
                <w:vertAlign w:val="baseline"/>
                <w:lang w:val="en-US" w:eastAsia="zh-CN"/>
              </w:rPr>
            </w:pPr>
            <w:r>
              <w:rPr>
                <w:rFonts w:hint="eastAsia"/>
                <w:vertAlign w:val="baseline"/>
                <w:lang w:val="en-US" w:eastAsia="zh-CN"/>
              </w:rPr>
              <w:t>数量，内审报告数量</w:t>
            </w:r>
          </w:p>
        </w:tc>
        <w:tc>
          <w:tcPr>
            <w:tcW w:w="996" w:type="dxa"/>
            <w:shd w:val="clear" w:color="auto" w:fill="auto"/>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年度</w:t>
            </w:r>
          </w:p>
        </w:tc>
        <w:tc>
          <w:tcPr>
            <w:tcW w:w="2131" w:type="dxa"/>
            <w:shd w:val="clear" w:color="auto" w:fill="auto"/>
          </w:tcPr>
          <w:p>
            <w:pPr>
              <w:pStyle w:val="a1"/>
              <w:widowControl w:val="0"/>
              <w:rPr>
                <w:rFonts w:hint="default"/>
                <w:vertAlign w:val="baseline"/>
                <w:lang w:val="en-US" w:eastAsia="zh-CN"/>
              </w:rPr>
            </w:pPr>
            <w:r>
              <w:rPr>
                <w:rFonts w:hint="eastAsia"/>
                <w:vertAlign w:val="baseline"/>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8" w:name="bookmark3"/>
      <w:bookmarkEnd w:id="38"/>
      <w:bookmarkStart w:id="39" w:name="_Toc17424"/>
      <w:bookmarkStart w:id="40" w:name="_Toc27791"/>
      <w:r>
        <w:rPr>
          <w:rStyle w:val="1Char"/>
          <w:rFonts w:eastAsia="宋体" w:hint="eastAsia"/>
          <w:lang w:val="en-US" w:eastAsia="zh-CN"/>
        </w:rPr>
        <w:t>附则</w:t>
      </w:r>
      <w:bookmarkEnd w:id="39"/>
      <w:bookmarkEnd w:id="40"/>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1" w:name="bookmark14"/>
      <w:bookmarkEnd w:id="41"/>
      <w:bookmarkStart w:id="42" w:name="_Toc16257"/>
      <w:r>
        <w:rPr>
          <w:rFonts w:hint="eastAsia"/>
          <w:lang w:val="en-US" w:eastAsia="zh-CN"/>
        </w:rPr>
        <w:t>附件</w:t>
      </w:r>
      <w:bookmarkEnd w:id="4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90AC3E"/>
    <w:multiLevelType w:val="singleLevel"/>
    <w:tmpl w:val="8B90AC3E"/>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ECE0CEE9"/>
    <w:multiLevelType w:val="singleLevel"/>
    <w:tmpl w:val="ECE0CEE9"/>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048054F"/>
    <w:multiLevelType w:val="singleLevel"/>
    <w:tmpl w:val="0048054F"/>
    <w:lvl w:ilvl="0">
      <w:start w:val="1"/>
      <w:numFmt w:val="decimal"/>
      <w:lvlText w:val="%1."/>
      <w:lvlJc w:val="left"/>
      <w:pPr>
        <w:ind w:left="425" w:hanging="425"/>
      </w:pPr>
      <w:rPr>
        <w:rFonts w:hint="default"/>
      </w:rPr>
    </w:lvl>
  </w:abstractNum>
  <w:abstractNum w:abstractNumId="5">
    <w:nsid w:val="0BE3A18D"/>
    <w:multiLevelType w:val="singleLevel"/>
    <w:tmpl w:val="0BE3A18D"/>
    <w:lvl w:ilvl="0">
      <w:start w:val="1"/>
      <w:numFmt w:val="decimal"/>
      <w:lvlText w:val="%1."/>
      <w:lvlJc w:val="left"/>
      <w:pPr>
        <w:ind w:left="425" w:hanging="425"/>
      </w:pPr>
      <w:rPr>
        <w:rFonts w:hint="default"/>
      </w:rPr>
    </w:lvl>
  </w:abstractNum>
  <w:abstractNum w:abstractNumId="6">
    <w:nsid w:val="54C8AD64"/>
    <w:multiLevelType w:val="singleLevel"/>
    <w:tmpl w:val="54C8AD64"/>
    <w:lvl w:ilvl="0">
      <w:start w:val="1"/>
      <w:numFmt w:val="decimal"/>
      <w:lvlText w:val="%1."/>
      <w:lvlJc w:val="left"/>
      <w:pPr>
        <w:ind w:left="425" w:hanging="425"/>
      </w:pPr>
      <w:rPr>
        <w:rFonts w:hint="default"/>
      </w:rPr>
    </w:lvl>
  </w:abstractNum>
  <w:num w:numId="1">
    <w:abstractNumId w:val="1"/>
  </w:num>
  <w:num w:numId="2">
    <w:abstractNumId w:val="4"/>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1750</Words>
  <Characters>1996</Characters>
  <Application>Microsoft Office Word</Application>
  <DocSecurity>0</DocSecurity>
  <Lines>0</Lines>
  <Paragraphs>0</Paragraphs>
  <ScaleCrop>false</ScaleCrop>
  <Company/>
  <LinksUpToDate>false</LinksUpToDate>
  <CharactersWithSpaces>2165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