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6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963"/>
      <w:r>
        <w:rPr>
          <w:rFonts w:hint="eastAsia"/>
          <w:lang w:val="en-US" w:eastAsia="zh-CN"/>
        </w:rPr>
        <w:t>运维服务质量管理评审计划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2025.11.13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_Toc30654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运维服务质量管理评审计划</w:t>
          </w:r>
          <w:r>
            <w:tab/>
          </w:r>
          <w:r>
            <w:fldChar w:fldCharType="begin"/>
          </w:r>
          <w:r>
            <w:instrText xml:space="preserve"> PAGEREF _Toc11963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202</w:t>
          </w:r>
          <w:r>
            <w:rPr>
              <w:rFonts w:ascii="宋体" w:eastAsia="宋体" w:hAnsi="宋体" w:cs="宋体" w:hint="eastAsia"/>
              <w:bCs/>
              <w:spacing w:val="-4"/>
              <w:szCs w:val="30"/>
              <w:lang w:val="en-US" w:eastAsia="zh-CN"/>
            </w:rPr>
            <w:t>5</w:t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年度运维服务管理评审计划</w:t>
          </w:r>
          <w:r>
            <w:tab/>
          </w:r>
          <w:r>
            <w:fldChar w:fldCharType="begin"/>
          </w:r>
          <w:r>
            <w:instrText xml:space="preserve"> PAGEREF _Toc3042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spacing w:before="97" w:line="220" w:lineRule="auto"/>
        <w:ind w:left="2854"/>
        <w:outlineLvl w:val="0"/>
        <w:rPr>
          <w:rFonts w:ascii="宋体" w:eastAsia="宋体" w:hAnsi="宋体" w:cs="宋体"/>
          <w:sz w:val="30"/>
          <w:szCs w:val="30"/>
        </w:rPr>
      </w:pPr>
      <w:bookmarkStart w:id="2" w:name="_Toc304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202</w:t>
      </w:r>
      <w:r>
        <w:rPr>
          <w:rFonts w:ascii="宋体" w:eastAsia="宋体" w:hAnsi="宋体" w:cs="宋体" w:hint="eastAsia"/>
          <w:b/>
          <w:bCs/>
          <w:spacing w:val="-4"/>
          <w:sz w:val="30"/>
          <w:szCs w:val="30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年度运维服务管理评审计划</w:t>
      </w:r>
      <w:bookmarkEnd w:id="2"/>
    </w:p>
    <w:tbl>
      <w:tblPr>
        <w:tblStyle w:val="TableNormal1"/>
        <w:tblW w:w="859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2124"/>
        <w:gridCol w:w="1273"/>
        <w:gridCol w:w="3667"/>
      </w:tblGrid>
      <w:tr>
        <w:tblPrEx>
          <w:tblW w:w="859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/>
        </w:trPr>
        <w:tc>
          <w:tcPr>
            <w:tcW w:w="1529" w:type="dxa"/>
            <w:vAlign w:val="center"/>
          </w:tcPr>
          <w:p>
            <w:pPr>
              <w:pStyle w:val="TableText"/>
              <w:spacing w:before="78" w:line="220" w:lineRule="auto"/>
              <w:ind w:left="284"/>
            </w:pPr>
            <w:r>
              <w:rPr>
                <w:b/>
                <w:bCs/>
                <w:spacing w:val="-4"/>
              </w:rPr>
              <w:t>评审目的</w:t>
            </w:r>
          </w:p>
        </w:tc>
        <w:tc>
          <w:tcPr>
            <w:tcW w:w="7064" w:type="dxa"/>
            <w:gridSpan w:val="3"/>
          </w:tcPr>
          <w:p>
            <w:pPr>
              <w:pStyle w:val="a3"/>
              <w:bidi w:val="0"/>
            </w:pPr>
            <w:r>
              <w:t>评价公司实施运维服务管理体系能力成熟度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级后,运维服务的适宜性、协调性、充分性和有效性,提出改进措施、建议，确保公司方针、目标的实现和满足法律法规和客户的需求。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/>
        </w:trPr>
        <w:tc>
          <w:tcPr>
            <w:tcW w:w="1529" w:type="dxa"/>
            <w:vAlign w:val="center"/>
          </w:tcPr>
          <w:p>
            <w:pPr>
              <w:pStyle w:val="TableText"/>
              <w:spacing w:before="137" w:line="221" w:lineRule="auto"/>
              <w:ind w:left="287"/>
            </w:pPr>
            <w:r>
              <w:rPr>
                <w:b/>
                <w:bCs/>
                <w:spacing w:val="-5"/>
              </w:rPr>
              <w:t>参加人员</w:t>
            </w:r>
          </w:p>
        </w:tc>
        <w:tc>
          <w:tcPr>
            <w:tcW w:w="7064" w:type="dxa"/>
            <w:gridSpan w:val="3"/>
          </w:tcPr>
          <w:p>
            <w:pPr>
              <w:pStyle w:val="TableText"/>
              <w:spacing w:before="137" w:line="220" w:lineRule="auto"/>
              <w:ind w:left="115"/>
            </w:pPr>
            <w:r>
              <w:rPr>
                <w:rFonts w:hint="default"/>
                <w:vertAlign w:val="baseline"/>
                <w:lang w:val="en-US" w:eastAsia="zh-CN"/>
              </w:rPr>
              <w:t>粱学敏</w:t>
            </w:r>
            <w:r>
              <w:rPr>
                <w:rFonts w:hint="eastAsia"/>
                <w:vertAlign w:val="baseline"/>
                <w:lang w:val="en-US" w:eastAsia="zh-CN"/>
              </w:rPr>
              <w:t>、刘禹、田立森、靳春阳、魏娜杉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1529" w:type="dxa"/>
            <w:vAlign w:val="center"/>
          </w:tcPr>
          <w:p>
            <w:pPr>
              <w:pStyle w:val="TableText"/>
              <w:spacing w:before="139" w:line="220" w:lineRule="auto"/>
              <w:ind w:left="284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2124" w:type="dxa"/>
          </w:tcPr>
          <w:p>
            <w:pPr>
              <w:pStyle w:val="TableText"/>
              <w:spacing w:before="137" w:line="220" w:lineRule="auto"/>
              <w:ind w:left="115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5年11月20</w:t>
            </w:r>
            <w:r>
              <w:rPr>
                <w:spacing w:val="-1"/>
              </w:rPr>
              <w:t>日</w:t>
            </w:r>
          </w:p>
        </w:tc>
        <w:tc>
          <w:tcPr>
            <w:tcW w:w="1273" w:type="dxa"/>
          </w:tcPr>
          <w:p>
            <w:pPr>
              <w:pStyle w:val="TableText"/>
              <w:spacing w:before="138" w:line="224" w:lineRule="auto"/>
              <w:ind w:left="219"/>
            </w:pPr>
            <w:r>
              <w:rPr>
                <w:b/>
                <w:bCs/>
                <w:spacing w:val="-8"/>
              </w:rPr>
              <w:t>地点</w:t>
            </w:r>
          </w:p>
        </w:tc>
        <w:tc>
          <w:tcPr>
            <w:tcW w:w="3667" w:type="dxa"/>
          </w:tcPr>
          <w:p>
            <w:pPr>
              <w:pStyle w:val="TableText"/>
              <w:spacing w:before="138" w:line="219" w:lineRule="auto"/>
              <w:ind w:left="113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公司会议室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8"/>
        </w:trPr>
        <w:tc>
          <w:tcPr>
            <w:tcW w:w="8593" w:type="dxa"/>
            <w:gridSpan w:val="4"/>
          </w:tcPr>
          <w:p>
            <w:pPr>
              <w:pStyle w:val="a3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评审内容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2025年运维能力体系内审结果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各部门指标分析报告（指标及实施情况）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客户满意度调查和客户投诉情况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公司的组织结构、职责分配、资源配备的适宜性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体系要素及文件的适宜性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</w:pPr>
            <w:r>
              <w:rPr>
                <w:rFonts w:hint="eastAsia"/>
              </w:rPr>
              <w:t>客户及员工对运维能力体系的合理化建议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0"/>
        </w:trPr>
        <w:tc>
          <w:tcPr>
            <w:tcW w:w="8593" w:type="dxa"/>
            <w:gridSpan w:val="4"/>
          </w:tcPr>
          <w:p>
            <w:pPr>
              <w:pStyle w:val="a3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评审准备工作要求：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  <w:ind w:left="425" w:hanging="425" w:leftChars="0" w:firstLineChars="0"/>
            </w:pPr>
            <w:r>
              <w:t>质量部：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bookmarkStart w:id="3" w:name="_GoBack"/>
            <w:r>
              <w:t>最新版的运维服务能力管理体系文件；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运维服务能力管理体系不合格项汇总表；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不合格项分布表；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内部审核报告；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指标体系执行情况汇总表；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客户满意度调查分析报告；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客户回访分析报告；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  <w:ind w:left="425" w:hanging="425" w:leftChars="0" w:firstLineChars="0"/>
            </w:pPr>
            <w:bookmarkEnd w:id="3"/>
            <w:r>
              <w:t>运维相关各部门：</w:t>
            </w:r>
          </w:p>
          <w:p>
            <w:pPr>
              <w:pStyle w:val="a3"/>
              <w:numPr>
                <w:ilvl w:val="0"/>
                <w:numId w:val="5"/>
              </w:numPr>
              <w:bidi w:val="0"/>
              <w:ind w:left="425" w:hanging="425" w:leftChars="0" w:firstLineChars="0"/>
            </w:pPr>
            <w:r>
              <w:t>针对内审结果制定的改进方案；</w:t>
            </w:r>
          </w:p>
          <w:p>
            <w:pPr>
              <w:pStyle w:val="a3"/>
              <w:numPr>
                <w:ilvl w:val="0"/>
                <w:numId w:val="5"/>
              </w:numPr>
              <w:bidi w:val="0"/>
              <w:ind w:left="425" w:hanging="425" w:leftChars="0" w:firstLineChars="0"/>
            </w:pPr>
            <w:r>
              <w:t>运维服务能力管理体系改进的建议；</w:t>
            </w:r>
          </w:p>
          <w:p>
            <w:pPr>
              <w:pStyle w:val="a3"/>
              <w:numPr>
                <w:ilvl w:val="0"/>
                <w:numId w:val="5"/>
              </w:numPr>
              <w:bidi w:val="0"/>
              <w:ind w:left="425" w:hanging="425" w:leftChars="0" w:firstLineChars="0"/>
            </w:pPr>
            <w:r>
              <w:t>以上所有材料在</w:t>
            </w:r>
            <w:r>
              <w:rPr>
                <w:rFonts w:hint="eastAsia"/>
                <w:lang w:val="en-US" w:eastAsia="zh-CN"/>
              </w:rPr>
              <w:t>2025</w:t>
            </w:r>
            <w:r>
              <w:t>年</w:t>
            </w:r>
            <w:r>
              <w:rPr>
                <w:rFonts w:hint="eastAsia"/>
                <w:lang w:val="en-US" w:eastAsia="zh-CN"/>
              </w:rPr>
              <w:t>11月19</w:t>
            </w:r>
            <w:r>
              <w:t>日前提交质量部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A353BD"/>
    <w:multiLevelType w:val="singleLevel"/>
    <w:tmpl w:val="B9A353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97D42D"/>
    <w:multiLevelType w:val="singleLevel"/>
    <w:tmpl w:val="D397D42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F69BA2D"/>
    <w:multiLevelType w:val="singleLevel"/>
    <w:tmpl w:val="3F69BA2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42501444"/>
    <w:multiLevelType w:val="singleLevel"/>
    <w:tmpl w:val="4250144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582</Words>
  <Characters>648</Characters>
  <Application>Microsoft Office Word</Application>
  <DocSecurity>0</DocSecurity>
  <Lines>0</Lines>
  <Paragraphs>0</Paragraphs>
  <ScaleCrop>false</ScaleCrop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2026-01-10T16:22:58Z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