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2722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天津图云智能科技有限公司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21488"/>
      <w:r>
        <w:rPr>
          <w:rFonts w:hint="eastAsia"/>
          <w:lang w:val="en-US" w:eastAsia="zh-CN"/>
        </w:rPr>
        <w:t>人员入离职管理制度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TJTY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00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综合管理部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粱学敏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粱学敏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宋体" w:hint="eastAsia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tLeast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1"/>
              <w:szCs w:val="21"/>
            </w:rPr>
          </w:pPr>
          <w:r>
            <w:rPr>
              <w:rFonts w:ascii="宋体" w:eastAsia="宋体" w:hAnsi="宋体" w:cs="宋体" w:hint="eastAsia"/>
              <w:sz w:val="21"/>
              <w:szCs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1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 w:val="21"/>
              <w:szCs w:val="21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separate"/>
          </w: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_Toc22722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eastAsia"/>
              <w:lang w:val="en-US" w:eastAsia="zh-CN"/>
            </w:rPr>
            <w:t>天津图云智能科技有限公司</w:t>
          </w:r>
          <w:r>
            <w:tab/>
          </w:r>
          <w:r>
            <w:fldChar w:fldCharType="begin"/>
          </w:r>
          <w:r>
            <w:instrText xml:space="preserve"> PAGEREF _Toc22722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_Toc21488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eastAsia"/>
              <w:lang w:val="en-US" w:eastAsia="zh-CN"/>
            </w:rPr>
            <w:t>人员入离职管理制度</w:t>
          </w:r>
          <w:r>
            <w:tab/>
          </w:r>
          <w:r>
            <w:fldChar w:fldCharType="begin"/>
          </w:r>
          <w:r>
            <w:instrText xml:space="preserve"> PAGEREF _Toc21488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_Toc25302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_Toc25302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_Toc13831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_Toc13831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_Toc31032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_Toc31032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_Toc1036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_Toc1036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_Toc1610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_Toc1610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_Toc30608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1.4.1. </w:t>
          </w:r>
          <w:r>
            <w:rPr>
              <w:rFonts w:hint="eastAsia"/>
              <w:lang w:val="en-US" w:eastAsia="zh-CN"/>
            </w:rPr>
            <w:t>综合管理部</w:t>
          </w:r>
          <w:r>
            <w:tab/>
          </w:r>
          <w:r>
            <w:fldChar w:fldCharType="begin"/>
          </w:r>
          <w:r>
            <w:instrText xml:space="preserve"> PAGEREF _Toc30608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_Toc23339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1.4.2. </w:t>
          </w:r>
          <w:r>
            <w:rPr>
              <w:rFonts w:hint="eastAsia"/>
              <w:lang w:val="en-US" w:eastAsia="zh-CN"/>
            </w:rPr>
            <w:t>综合管理部经理</w:t>
          </w:r>
          <w:r>
            <w:tab/>
          </w:r>
          <w:r>
            <w:fldChar w:fldCharType="begin"/>
          </w:r>
          <w:r>
            <w:instrText xml:space="preserve"> PAGEREF _Toc23339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_Toc27587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1.4.3. </w:t>
          </w:r>
          <w:r>
            <w:rPr>
              <w:rFonts w:hint="eastAsia"/>
              <w:lang w:val="en-US" w:eastAsia="zh-CN"/>
            </w:rPr>
            <w:t>综合管理部专员</w:t>
          </w:r>
          <w:r>
            <w:tab/>
          </w:r>
          <w:r>
            <w:fldChar w:fldCharType="begin"/>
          </w:r>
          <w:r>
            <w:instrText xml:space="preserve"> PAGEREF _Toc27587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_Toc8878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_Toc8878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_Toc13062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_Toc13062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_Toc21793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3.1. </w:t>
          </w:r>
          <w:r>
            <w:rPr>
              <w:rFonts w:hint="eastAsia"/>
              <w:lang w:val="en-US" w:eastAsia="zh-CN"/>
            </w:rPr>
            <w:t>辞职</w:t>
          </w:r>
          <w:r>
            <w:tab/>
          </w:r>
          <w:r>
            <w:fldChar w:fldCharType="begin"/>
          </w:r>
          <w:r>
            <w:instrText xml:space="preserve"> PAGEREF _Toc21793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_Toc24088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3.2. </w:t>
          </w:r>
          <w:r>
            <w:rPr>
              <w:rFonts w:hint="eastAsia"/>
              <w:lang w:val="en-US" w:eastAsia="zh-CN"/>
            </w:rPr>
            <w:t>辞退</w:t>
          </w:r>
          <w:r>
            <w:tab/>
          </w:r>
          <w:r>
            <w:fldChar w:fldCharType="begin"/>
          </w:r>
          <w:r>
            <w:instrText xml:space="preserve"> PAGEREF _Toc24088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_Toc31562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3.3. </w:t>
          </w:r>
          <w:r>
            <w:rPr>
              <w:rFonts w:hint="eastAsia"/>
              <w:lang w:val="en-US" w:eastAsia="zh-CN"/>
            </w:rPr>
            <w:t>自动离职</w:t>
          </w:r>
          <w:r>
            <w:tab/>
          </w:r>
          <w:r>
            <w:fldChar w:fldCharType="begin"/>
          </w:r>
          <w:r>
            <w:instrText xml:space="preserve"> PAGEREF _Toc31562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_Toc10658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3.4. </w:t>
          </w:r>
          <w:r>
            <w:rPr>
              <w:rFonts w:hint="eastAsia"/>
              <w:lang w:val="en-US" w:eastAsia="zh-CN"/>
            </w:rPr>
            <w:t>正式员工</w:t>
          </w:r>
          <w:r>
            <w:tab/>
          </w:r>
          <w:r>
            <w:fldChar w:fldCharType="begin"/>
          </w:r>
          <w:r>
            <w:instrText xml:space="preserve"> PAGEREF _Toc10658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_Toc16957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3.5. </w:t>
          </w:r>
          <w:r>
            <w:rPr>
              <w:rFonts w:hint="eastAsia"/>
              <w:lang w:val="en-US" w:eastAsia="zh-CN"/>
            </w:rPr>
            <w:t>转正</w:t>
          </w:r>
          <w:r>
            <w:tab/>
          </w:r>
          <w:r>
            <w:fldChar w:fldCharType="begin"/>
          </w:r>
          <w:r>
            <w:instrText xml:space="preserve"> PAGEREF _Toc16957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_Toc11568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_Toc11568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_Toc12030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4.1. 入职管理</w:t>
          </w:r>
          <w:r>
            <w:tab/>
          </w:r>
          <w:r>
            <w:fldChar w:fldCharType="begin"/>
          </w:r>
          <w:r>
            <w:instrText xml:space="preserve"> PAGEREF _Toc12030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_Toc32467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4.1.1. 入职通知</w:t>
          </w:r>
          <w:r>
            <w:tab/>
          </w:r>
          <w:r>
            <w:fldChar w:fldCharType="begin"/>
          </w:r>
          <w:r>
            <w:instrText xml:space="preserve"> PAGEREF _Toc32467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_Toc30726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4.1.2. 入职资料</w:t>
          </w:r>
          <w:r>
            <w:tab/>
          </w:r>
          <w:r>
            <w:fldChar w:fldCharType="begin"/>
          </w:r>
          <w:r>
            <w:instrText xml:space="preserve"> PAGEREF _Toc30726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_Toc22790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4.1.3. 入职办理</w:t>
          </w:r>
          <w:r>
            <w:tab/>
          </w:r>
          <w:r>
            <w:fldChar w:fldCharType="begin"/>
          </w:r>
          <w:r>
            <w:instrText xml:space="preserve"> PAGEREF _Toc22790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_Toc31785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4.1.4. 合同签订</w:t>
          </w:r>
          <w:r>
            <w:tab/>
          </w:r>
          <w:r>
            <w:fldChar w:fldCharType="begin"/>
          </w:r>
          <w:r>
            <w:instrText xml:space="preserve"> PAGEREF _Toc31785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_Toc31885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4.2. 试用与转正管理</w:t>
          </w:r>
          <w:r>
            <w:tab/>
          </w:r>
          <w:r>
            <w:fldChar w:fldCharType="begin"/>
          </w:r>
          <w:r>
            <w:instrText xml:space="preserve"> PAGEREF _Toc31885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_Toc18795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4.2.1. 试用期</w:t>
          </w:r>
          <w:r>
            <w:tab/>
          </w:r>
          <w:r>
            <w:fldChar w:fldCharType="begin"/>
          </w:r>
          <w:r>
            <w:instrText xml:space="preserve"> PAGEREF _Toc18795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_Toc5728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4.2.2. 试用期考核</w:t>
          </w:r>
          <w:r>
            <w:tab/>
          </w:r>
          <w:r>
            <w:fldChar w:fldCharType="begin"/>
          </w:r>
          <w:r>
            <w:instrText xml:space="preserve"> PAGEREF _Toc5728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_Toc31689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4.2.3. 转正流程</w:t>
          </w:r>
          <w:r>
            <w:tab/>
          </w:r>
          <w:r>
            <w:fldChar w:fldCharType="begin"/>
          </w:r>
          <w:r>
            <w:instrText xml:space="preserve"> PAGEREF _Toc31689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_Toc29156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4.3. 离职管理</w:t>
          </w:r>
          <w:r>
            <w:tab/>
          </w:r>
          <w:r>
            <w:fldChar w:fldCharType="begin"/>
          </w:r>
          <w:r>
            <w:instrText xml:space="preserve"> PAGEREF _Toc29156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_Toc15107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4.3.1. 离职通知期：</w:t>
          </w:r>
          <w:r>
            <w:tab/>
          </w:r>
          <w:r>
            <w:fldChar w:fldCharType="begin"/>
          </w:r>
          <w:r>
            <w:instrText xml:space="preserve"> PAGEREF _Toc15107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_Toc16898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4.3.2. 离职流程：</w:t>
          </w:r>
          <w:r>
            <w:tab/>
          </w:r>
          <w:r>
            <w:fldChar w:fldCharType="begin"/>
          </w:r>
          <w:r>
            <w:instrText xml:space="preserve"> PAGEREF _Toc16898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_Toc6115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5. 附则</w:t>
          </w:r>
          <w:r>
            <w:tab/>
          </w:r>
          <w:r>
            <w:fldChar w:fldCharType="begin"/>
          </w:r>
          <w:r>
            <w:instrText xml:space="preserve"> PAGEREF _Toc6115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_Toc24537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6. 附件</w:t>
          </w:r>
          <w:r>
            <w:tab/>
          </w:r>
          <w:r>
            <w:fldChar w:fldCharType="begin"/>
          </w:r>
          <w:r>
            <w:instrText xml:space="preserve"> PAGEREF _Toc24537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_Toc19609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7. 记录</w:t>
          </w:r>
          <w:r>
            <w:tab/>
          </w:r>
          <w:r>
            <w:fldChar w:fldCharType="begin"/>
          </w:r>
          <w:r>
            <w:instrText xml:space="preserve"> PAGEREF _Toc19609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240" w:lineRule="atLeast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</w:sdtContent>
    </w:sdt>
    <w:p>
      <w:r>
        <w:rPr>
          <w:rFonts w:hint="eastAsia"/>
          <w:lang w:val="en-US" w:eastAsia="zh-CN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" w:name="_Toc25302"/>
      <w:bookmarkStart w:id="3" w:name="_GoBack"/>
      <w:bookmarkEnd w:id="3"/>
      <w:r>
        <w:rPr>
          <w:rFonts w:hint="eastAsia"/>
          <w:lang w:val="en-US" w:eastAsia="zh-CN"/>
        </w:rPr>
        <w:t>总则</w:t>
      </w:r>
      <w:bookmarkEnd w:id="2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13831"/>
      <w:r>
        <w:rPr>
          <w:rFonts w:hint="eastAsia"/>
          <w:lang w:val="en-US" w:eastAsia="zh-CN"/>
        </w:rPr>
        <w:t>目的</w:t>
      </w:r>
      <w:bookmarkEnd w:id="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为规范公司员工入职、离职管理程序，有效选拔与岗位要求匹配的合格人才，提升人事工作效率与质量，保障公司合法权益与经营管理目标的实现，特制定本制度。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31032"/>
      <w:r>
        <w:rPr>
          <w:rFonts w:hint="eastAsia"/>
          <w:lang w:val="en-US" w:eastAsia="zh-CN"/>
        </w:rPr>
        <w:t>适用范围</w:t>
      </w:r>
      <w:bookmarkEnd w:id="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本制度适用于公司所有部门的员工入职、试用、转正及离职手续的办理。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6" w:name="_Toc1036"/>
      <w:r>
        <w:rPr>
          <w:rFonts w:hint="eastAsia"/>
          <w:lang w:val="en-US" w:eastAsia="zh-CN"/>
        </w:rPr>
        <w:t>原则</w:t>
      </w:r>
      <w:bookmarkEnd w:id="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员工入离职管理应遵循合法合规、程序正当、权责清晰、高效便捷的原则。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31536"/>
      <w:bookmarkStart w:id="8" w:name="_Toc1610"/>
      <w:r>
        <w:rPr>
          <w:rFonts w:hint="eastAsia"/>
          <w:lang w:val="en-US" w:eastAsia="zh-CN"/>
        </w:rPr>
        <w:t>岗位职责</w:t>
      </w:r>
      <w:bookmarkEnd w:id="7"/>
      <w:bookmarkEnd w:id="8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30608"/>
      <w:r>
        <w:rPr>
          <w:rFonts w:hint="eastAsia"/>
          <w:lang w:val="en-US" w:eastAsia="zh-CN"/>
        </w:rPr>
        <w:t>综合管理部</w:t>
      </w:r>
      <w:bookmarkEnd w:id="9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负责本制度的制定、修订、解释与推行。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统筹办理员工的入职、试用、转正、离职等各项手续。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负责员工人事档案的建立、保管、更新与维护，确保档案的完整性与保密性。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监督与检查各部门对本制度的执行情况，确保流程合规。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为各部门提供入离职相关的法律法规咨询与操作指导。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0" w:name="_Toc23339"/>
      <w:r>
        <w:rPr>
          <w:rFonts w:hint="eastAsia"/>
          <w:lang w:val="en-US" w:eastAsia="zh-CN"/>
        </w:rPr>
        <w:t>综合管理部经理</w:t>
      </w:r>
      <w:bookmarkEnd w:id="10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负责本部门新员工的岗位安排、岗前培训及工作指导；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负责对本部门员工的离职申请进行初步审核与面谈；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负责监督并确保员工离职时的工作交接完整、顺利；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负责审核、审批与本部门员工入离职相关的资料与流程。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1" w:name="_Toc27587"/>
      <w:r>
        <w:rPr>
          <w:rFonts w:hint="eastAsia"/>
          <w:lang w:val="en-US" w:eastAsia="zh-CN"/>
        </w:rPr>
        <w:t>综合管理部专员</w:t>
      </w:r>
      <w:bookmarkEnd w:id="11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负责本制度的执行、检查与监督；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负责办理员工入职、转正、离职等具体手续；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负责员工人事档案的建立、更新、保管与维护；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为各部门提供入离职相关的政策咨询与支持。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2" w:name="_Toc2231"/>
      <w:bookmarkStart w:id="13" w:name="_Toc8878"/>
      <w:r>
        <w:rPr>
          <w:rFonts w:hint="eastAsia"/>
          <w:lang w:val="en-US" w:eastAsia="zh-CN"/>
        </w:rPr>
        <w:t>引用依据</w:t>
      </w:r>
      <w:bookmarkEnd w:id="12"/>
      <w:bookmarkEnd w:id="13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28827.1-2022《信息技术服务 运行维护 第1部分：通用要求》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28827.2-2012《信息技术服务 运行维护 第2部分：交付规范》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28827.3-2012《信息技术服务 运行维护 第3部分：应急响应规范》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T/CESA 1299—2023《信息技术服务 运行维护服务能力成熟度模型》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4" w:name="_Toc13062"/>
      <w:r>
        <w:rPr>
          <w:rFonts w:hint="eastAsia"/>
          <w:lang w:val="en-US" w:eastAsia="zh-CN"/>
        </w:rPr>
        <w:t>定义与术语</w:t>
      </w:r>
      <w:bookmarkEnd w:id="14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5" w:name="_Toc21793"/>
      <w:r>
        <w:rPr>
          <w:rFonts w:hint="eastAsia"/>
          <w:lang w:val="en-US" w:eastAsia="zh-CN"/>
        </w:rPr>
        <w:t>辞职</w:t>
      </w:r>
      <w:bookmarkEnd w:id="1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指在劳动合同期内，由员工主动提出提前终止劳动关系的行为。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6" w:name="_Toc24088"/>
      <w:r>
        <w:rPr>
          <w:rFonts w:hint="eastAsia"/>
          <w:lang w:val="en-US" w:eastAsia="zh-CN"/>
        </w:rPr>
        <w:t>辞退</w:t>
      </w:r>
      <w:bookmarkEnd w:id="1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指在劳动合同期内，公司根据员工表现、规章制度或法律规定，提前终止与员工劳动关系的行为。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7" w:name="_Toc31562"/>
      <w:r>
        <w:rPr>
          <w:rFonts w:hint="eastAsia"/>
          <w:lang w:val="en-US" w:eastAsia="zh-CN"/>
        </w:rPr>
        <w:t>自动离职</w:t>
      </w:r>
      <w:bookmarkEnd w:id="1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指在劳动合同期内，员工未办理任何请假或离职手续，擅自脱离工作岗位连续满三天（含）以上的，视为自动离职。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8" w:name="_Toc10658"/>
      <w:r>
        <w:rPr>
          <w:rFonts w:hint="eastAsia"/>
          <w:lang w:val="en-US" w:eastAsia="zh-CN"/>
        </w:rPr>
        <w:t>正式员工</w:t>
      </w:r>
      <w:bookmarkEnd w:id="1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指已完成试用期考核并获批准转正的员工。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9" w:name="_Toc16957"/>
      <w:r>
        <w:rPr>
          <w:rFonts w:hint="eastAsia"/>
          <w:lang w:val="en-US" w:eastAsia="zh-CN"/>
        </w:rPr>
        <w:t>转正</w:t>
      </w:r>
      <w:bookmarkEnd w:id="1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指员工试用期满，经考核合格，转为公司正式员工的过程。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0" w:name="_Toc11568"/>
      <w:r>
        <w:rPr>
          <w:rFonts w:hint="eastAsia"/>
          <w:lang w:val="en-US" w:eastAsia="zh-CN"/>
        </w:rPr>
        <w:t>管理内容与要求</w:t>
      </w:r>
      <w:bookmarkEnd w:id="20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1" w:name="_Toc12030"/>
      <w:r>
        <w:rPr>
          <w:rFonts w:hint="default"/>
          <w:lang w:val="en-US" w:eastAsia="zh-CN"/>
        </w:rPr>
        <w:t>入职管理</w:t>
      </w:r>
      <w:bookmarkEnd w:id="21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2" w:name="_Toc32467"/>
      <w:r>
        <w:rPr>
          <w:rFonts w:hint="default"/>
          <w:lang w:val="en-US" w:eastAsia="zh-CN"/>
        </w:rPr>
        <w:t>入职通知</w:t>
      </w:r>
      <w:bookmarkEnd w:id="2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综合管理部专员</w:t>
      </w:r>
      <w:r>
        <w:rPr>
          <w:rFonts w:hint="default"/>
          <w:lang w:val="en-US" w:eastAsia="zh-CN"/>
        </w:rPr>
        <w:t>负责向录用者发出入职通知，明确报到时间、地点及需携带资料。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3" w:name="_Toc30726"/>
      <w:r>
        <w:rPr>
          <w:rFonts w:hint="default"/>
          <w:lang w:val="en-US" w:eastAsia="zh-CN"/>
        </w:rPr>
        <w:t>入职资料</w:t>
      </w:r>
      <w:bookmarkEnd w:id="2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新员工须在规定时间内提交以下资料：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入职人员信息表；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一寸近期免冠照片；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身份证复印件；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学历、学位及资格证书复印件；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上一家单位的离职证明；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个人社保缴费凭证及医保卡号。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4" w:name="_Toc22790"/>
      <w:r>
        <w:rPr>
          <w:rFonts w:hint="default"/>
          <w:lang w:val="en-US" w:eastAsia="zh-CN"/>
        </w:rPr>
        <w:t>入职办理</w:t>
      </w:r>
      <w:bookmarkEnd w:id="2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综合管理部专员</w:t>
      </w:r>
      <w:r>
        <w:rPr>
          <w:rFonts w:hint="default"/>
          <w:lang w:val="en-US" w:eastAsia="zh-CN"/>
        </w:rPr>
        <w:t>为新员工办理指纹录入、开通办公权限、发放办公用品，并填写《新员工入职引导表》，引导其至用人部门报到。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5" w:name="_Toc31785"/>
      <w:r>
        <w:rPr>
          <w:rFonts w:hint="default"/>
          <w:lang w:val="en-US" w:eastAsia="zh-CN"/>
        </w:rPr>
        <w:t>合同签订</w:t>
      </w:r>
      <w:bookmarkEnd w:id="2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新员工入职一周内，须与公司签订《劳动合同》及《保密协议》等相关附件。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6" w:name="_Toc31885"/>
      <w:r>
        <w:rPr>
          <w:rFonts w:hint="default"/>
          <w:lang w:val="en-US" w:eastAsia="zh-CN"/>
        </w:rPr>
        <w:t>试用与转正管理</w:t>
      </w:r>
      <w:bookmarkEnd w:id="26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7" w:name="_Toc18795"/>
      <w:r>
        <w:rPr>
          <w:rFonts w:hint="default"/>
          <w:lang w:val="en-US" w:eastAsia="zh-CN"/>
        </w:rPr>
        <w:t>试用期</w:t>
      </w:r>
      <w:bookmarkEnd w:id="2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试用期期限依据《劳动合同法》相关规定执行。对表现优异者，部门可申请提前转正，经审批后执行。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8" w:name="_Toc5728"/>
      <w:r>
        <w:rPr>
          <w:rFonts w:hint="default"/>
          <w:lang w:val="en-US" w:eastAsia="zh-CN"/>
        </w:rPr>
        <w:t>试用期考核</w:t>
      </w:r>
      <w:bookmarkEnd w:id="2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用人部门负责对试用期员工进行日常考评。对于不符合岗位要求的，可停止试用。试用期满，由</w:t>
      </w:r>
      <w:r>
        <w:rPr>
          <w:rFonts w:hint="eastAsia"/>
          <w:lang w:val="en-US" w:eastAsia="zh-CN"/>
        </w:rPr>
        <w:t>综合管理部专员</w:t>
      </w:r>
      <w:r>
        <w:rPr>
          <w:rFonts w:hint="default"/>
          <w:lang w:val="en-US" w:eastAsia="zh-CN"/>
        </w:rPr>
        <w:t>与用人部门共同进行转正考核。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9" w:name="_Toc31689"/>
      <w:r>
        <w:rPr>
          <w:rFonts w:hint="default"/>
          <w:lang w:val="en-US" w:eastAsia="zh-CN"/>
        </w:rPr>
        <w:t>转正流程</w:t>
      </w:r>
      <w:bookmarkEnd w:id="2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综合管理部专员</w:t>
      </w:r>
      <w:r>
        <w:rPr>
          <w:rFonts w:hint="default"/>
          <w:lang w:val="en-US" w:eastAsia="zh-CN"/>
        </w:rPr>
        <w:t>每月10日前通知相关部门启动转正流程。待转正员工须在钉钉系统提交转正申请，经审批通过后，于转正之日享受转正薪资。考核不合格者可延长试用期。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0" w:name="_Toc29156"/>
      <w:r>
        <w:rPr>
          <w:rFonts w:hint="default"/>
          <w:lang w:val="en-US" w:eastAsia="zh-CN"/>
        </w:rPr>
        <w:t>离职管理</w:t>
      </w:r>
      <w:bookmarkEnd w:id="30"/>
    </w:p>
    <w:p>
      <w:pPr>
        <w:pStyle w:val="3"/>
        <w:bidi w:val="0"/>
        <w:rPr>
          <w:rFonts w:hint="default"/>
          <w:lang w:val="en-US" w:eastAsia="zh-CN"/>
        </w:rPr>
      </w:pPr>
      <w:bookmarkStart w:id="31" w:name="_Toc15107"/>
      <w:r>
        <w:rPr>
          <w:rFonts w:hint="default"/>
          <w:lang w:val="en-US" w:eastAsia="zh-CN"/>
        </w:rPr>
        <w:t>离职通知期：</w:t>
      </w:r>
      <w:bookmarkEnd w:id="31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辞职：正式员工需提前30天提交书面申请；试用期员工需提前3天提交。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辞退：公司辞退正式员工，应提前30天书面通知；辞退试用期员工，可提前一周通知。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32" w:name="_Toc16898"/>
      <w:r>
        <w:rPr>
          <w:rFonts w:hint="default"/>
          <w:lang w:val="en-US" w:eastAsia="zh-CN"/>
        </w:rPr>
        <w:t>离职流程：</w:t>
      </w:r>
      <w:bookmarkEnd w:id="32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辞职流程：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员工在钉钉系统提交离职申请，陈述离职原因，直接上级须进行面谈并签署意见后，按流程报批。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审批通过后，员工在最后工作日到</w:t>
      </w:r>
      <w:r>
        <w:rPr>
          <w:rFonts w:hint="eastAsia"/>
          <w:lang w:val="en-US" w:eastAsia="zh-CN"/>
        </w:rPr>
        <w:t>综合管理部</w:t>
      </w:r>
      <w:r>
        <w:rPr>
          <w:rFonts w:hint="default"/>
          <w:lang w:val="en-US" w:eastAsia="zh-CN"/>
        </w:rPr>
        <w:t>领取《离职交接单》。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员工持单办理工作、资产交接，由交接人、监交人（通常为部门负责人）签字确认。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交接完成后，员工将《离职交接单》交回</w:t>
      </w:r>
      <w:r>
        <w:rPr>
          <w:rFonts w:hint="eastAsia"/>
          <w:lang w:val="en-US" w:eastAsia="zh-CN"/>
        </w:rPr>
        <w:t>综合管理部</w:t>
      </w:r>
      <w:r>
        <w:rPr>
          <w:rFonts w:hint="default"/>
          <w:lang w:val="en-US" w:eastAsia="zh-CN"/>
        </w:rPr>
        <w:t>，签订《解除劳动关系协议》，</w:t>
      </w:r>
      <w:r>
        <w:rPr>
          <w:rFonts w:hint="eastAsia"/>
          <w:lang w:val="en-US" w:eastAsia="zh-CN"/>
        </w:rPr>
        <w:t>综合管理部</w:t>
      </w:r>
      <w:r>
        <w:rPr>
          <w:rFonts w:hint="default"/>
          <w:lang w:val="en-US" w:eastAsia="zh-CN"/>
        </w:rPr>
        <w:t>据此开具《离职证明》。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辞退流程：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部门负责人向</w:t>
      </w:r>
      <w:r>
        <w:rPr>
          <w:rFonts w:hint="eastAsia"/>
          <w:lang w:val="en-US" w:eastAsia="zh-CN"/>
        </w:rPr>
        <w:t>综合管理部专员</w:t>
      </w:r>
      <w:r>
        <w:rPr>
          <w:rFonts w:hint="default"/>
          <w:lang w:val="en-US" w:eastAsia="zh-CN"/>
        </w:rPr>
        <w:t>提出辞退建议，经分管领导及总经理审批。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综合管理部专员</w:t>
      </w:r>
      <w:r>
        <w:rPr>
          <w:rFonts w:hint="default"/>
          <w:lang w:val="en-US" w:eastAsia="zh-CN"/>
        </w:rPr>
        <w:t>依据最终审批意见，向被辞退员工发出通知，并指导其办理离职交接手续。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自动离职处理：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部门负责人应在员工符合自动离职条件起2日内，书面通知</w:t>
      </w:r>
      <w:r>
        <w:rPr>
          <w:rFonts w:hint="eastAsia"/>
          <w:lang w:val="en-US" w:eastAsia="zh-CN"/>
        </w:rPr>
        <w:t>综合管理部</w:t>
      </w:r>
      <w:r>
        <w:rPr>
          <w:rFonts w:hint="default"/>
          <w:lang w:val="en-US" w:eastAsia="zh-CN"/>
        </w:rPr>
        <w:t>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综合管理部</w:t>
      </w:r>
      <w:r>
        <w:rPr>
          <w:rFonts w:hint="default"/>
          <w:lang w:val="en-US" w:eastAsia="zh-CN"/>
        </w:rPr>
        <w:t>核实确认后，按自动离职流程办理，并备案。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33" w:name="_Toc6115"/>
      <w:r>
        <w:rPr>
          <w:rFonts w:hint="default"/>
          <w:lang w:val="en-US" w:eastAsia="zh-CN"/>
        </w:rPr>
        <w:t>附则</w:t>
      </w:r>
      <w:bookmarkEnd w:id="3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本制度由公司</w:t>
      </w:r>
      <w:r>
        <w:rPr>
          <w:rFonts w:hint="eastAsia"/>
          <w:lang w:val="en-US" w:eastAsia="zh-CN"/>
        </w:rPr>
        <w:t>综合管理部</w:t>
      </w:r>
      <w:r>
        <w:rPr>
          <w:rFonts w:hint="default"/>
          <w:lang w:val="en-US" w:eastAsia="zh-CN"/>
        </w:rPr>
        <w:t>负责解释。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本制度自颁布之日起施行。此前发布的相关规定与本制度不一致的，以本制度为准。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34" w:name="_Toc24537"/>
      <w:r>
        <w:rPr>
          <w:rFonts w:hint="default"/>
          <w:lang w:val="en-US" w:eastAsia="zh-CN"/>
        </w:rPr>
        <w:t>附件</w:t>
      </w:r>
      <w:bookmarkEnd w:id="34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《新员工入职引导表》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《离职交接单》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《解除劳动关系协议》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《劳动合同》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《保密协议》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35" w:name="_Toc19609"/>
      <w:r>
        <w:rPr>
          <w:rFonts w:hint="default"/>
          <w:lang w:val="en-US" w:eastAsia="zh-CN"/>
        </w:rPr>
        <w:t>记录</w:t>
      </w:r>
      <w:bookmarkEnd w:id="35"/>
    </w:p>
    <w:p>
      <w:pPr>
        <w:pStyle w:val="a1"/>
        <w:numPr>
          <w:ilvl w:val="0"/>
          <w:numId w:val="10"/>
        </w:numPr>
        <w:bidi w:val="0"/>
        <w:ind w:left="425" w:hanging="425" w:leftChars="0" w:firstLineChars="0"/>
      </w:pPr>
      <w:r>
        <w:t>《员工人事档案》及清单</w:t>
      </w:r>
    </w:p>
    <w:p>
      <w:pPr>
        <w:pStyle w:val="a1"/>
        <w:numPr>
          <w:ilvl w:val="0"/>
          <w:numId w:val="10"/>
        </w:numPr>
        <w:bidi w:val="0"/>
        <w:ind w:left="425" w:hanging="425" w:leftChars="0" w:firstLineChars="0"/>
      </w:pPr>
      <w:r>
        <w:t>《员工转正申请表》</w:t>
      </w:r>
    </w:p>
    <w:p>
      <w:pPr>
        <w:pStyle w:val="a1"/>
        <w:numPr>
          <w:ilvl w:val="0"/>
          <w:numId w:val="10"/>
        </w:numPr>
        <w:bidi w:val="0"/>
        <w:ind w:left="425" w:hanging="425" w:leftChars="0" w:firstLineChars="0"/>
      </w:pPr>
      <w:r>
        <w:t>《离职交接单》</w:t>
      </w:r>
    </w:p>
    <w:p>
      <w:pPr>
        <w:pStyle w:val="a1"/>
        <w:numPr>
          <w:ilvl w:val="0"/>
          <w:numId w:val="10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t>《离职证明》存根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sectPr>
      <w:headerReference w:type="default" r:id="rId6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天津图云智能科技有限公司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2B9ED1D"/>
    <w:multiLevelType w:val="singleLevel"/>
    <w:tmpl w:val="92B9ED1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B31BB88B"/>
    <w:multiLevelType w:val="singleLevel"/>
    <w:tmpl w:val="B31BB88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B3E7E104"/>
    <w:multiLevelType w:val="singleLevel"/>
    <w:tmpl w:val="B3E7E10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EF25C155"/>
    <w:multiLevelType w:val="singleLevel"/>
    <w:tmpl w:val="EF25C15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037FBE02"/>
    <w:multiLevelType w:val="singleLevel"/>
    <w:tmpl w:val="037FBE0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11938C9F"/>
    <w:multiLevelType w:val="singleLevel"/>
    <w:tmpl w:val="11938C9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23E8BCFF"/>
    <w:multiLevelType w:val="singleLevel"/>
    <w:tmpl w:val="23E8BCF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746A8A1D"/>
    <w:multiLevelType w:val="singleLevel"/>
    <w:tmpl w:val="746A8A1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7DB395CD"/>
    <w:multiLevelType w:val="singleLevel"/>
    <w:tmpl w:val="7DB395C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8"/>
  </w:num>
  <w:num w:numId="3">
    <w:abstractNumId w:val="3"/>
  </w:num>
  <w:num w:numId="4">
    <w:abstractNumId w:val="9"/>
  </w:num>
  <w:num w:numId="5">
    <w:abstractNumId w:val="6"/>
  </w:num>
  <w:num w:numId="6">
    <w:abstractNumId w:val="7"/>
  </w:num>
  <w:num w:numId="7">
    <w:abstractNumId w:val="5"/>
  </w:num>
  <w:num w:numId="8">
    <w:abstractNumId w:val="1"/>
  </w:num>
  <w:num w:numId="9">
    <w:abstractNumId w:val="4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2017</Words>
  <Characters>2231</Characters>
  <Application>Microsoft Office Word</Application>
  <DocSecurity>0</DocSecurity>
  <Lines>0</Lines>
  <Paragraphs>0</Paragraphs>
  <ScaleCrop>false</ScaleCrop>
  <Company/>
  <LinksUpToDate>false</LinksUpToDate>
  <CharactersWithSpaces>2504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2025-12-02T18:03:24Z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