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10642"/>
      <w:bookmarkStart w:id="1" w:name="_GoBack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1"/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天津图云智能科技有限公司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2" w:name="_Toc13007"/>
      <w:r>
        <w:rPr>
          <w:rFonts w:hint="eastAsia"/>
          <w:lang w:val="en-US" w:eastAsia="zh-CN"/>
        </w:rPr>
        <w:t>服务级别管理制度</w:t>
      </w:r>
      <w:bookmarkEnd w:id="2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TJTY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6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2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粱学敏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7137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>
        <w:tblPrEx>
          <w:tblW w:w="7137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2025.01.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粱学敏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_Toc10642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天津图云智能科技有限公司</w:t>
          </w:r>
          <w:r>
            <w:tab/>
          </w:r>
          <w:r>
            <w:fldChar w:fldCharType="begin"/>
          </w:r>
          <w:r>
            <w:instrText xml:space="preserve"> PAGEREF _Toc10642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_Toc13007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服务级别管理制度</w:t>
          </w:r>
          <w:r>
            <w:tab/>
          </w:r>
          <w:r>
            <w:fldChar w:fldCharType="begin"/>
          </w:r>
          <w:r>
            <w:instrText xml:space="preserve"> PAGEREF _Toc13007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_Toc10668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val="en-US" w:eastAsia="zh-CN"/>
            </w:rPr>
            <w:t>总则</w:t>
          </w:r>
          <w:r>
            <w:tab/>
          </w:r>
          <w:r>
            <w:fldChar w:fldCharType="begin"/>
          </w:r>
          <w:r>
            <w:instrText xml:space="preserve"> PAGEREF _Toc10668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_Toc12550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1.1. 目的</w:t>
          </w:r>
          <w:r>
            <w:tab/>
          </w:r>
          <w:r>
            <w:fldChar w:fldCharType="begin"/>
          </w:r>
          <w:r>
            <w:instrText xml:space="preserve"> PAGEREF _Toc12550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_Toc11287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1.2. 适用范围</w:t>
          </w:r>
          <w:r>
            <w:tab/>
          </w:r>
          <w:r>
            <w:fldChar w:fldCharType="begin"/>
          </w:r>
          <w:r>
            <w:instrText xml:space="preserve"> PAGEREF _Toc11287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_Toc18616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1.3. 原则</w:t>
          </w:r>
          <w:r>
            <w:tab/>
          </w:r>
          <w:r>
            <w:fldChar w:fldCharType="begin"/>
          </w:r>
          <w:r>
            <w:instrText xml:space="preserve"> PAGEREF _Toc18616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_Toc17865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1.4. 岗位职责</w:t>
          </w:r>
          <w:r>
            <w:tab/>
          </w:r>
          <w:r>
            <w:fldChar w:fldCharType="begin"/>
          </w:r>
          <w:r>
            <w:instrText xml:space="preserve"> PAGEREF _Toc17865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_Toc8299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1.4.1. </w:t>
          </w:r>
          <w:r>
            <w:rPr>
              <w:rFonts w:hint="eastAsia"/>
              <w:lang w:val="en-US" w:eastAsia="zh-CN"/>
            </w:rPr>
            <w:t>运维部经理</w:t>
          </w:r>
          <w:r>
            <w:tab/>
          </w:r>
          <w:r>
            <w:fldChar w:fldCharType="begin"/>
          </w:r>
          <w:r>
            <w:instrText xml:space="preserve"> PAGEREF _Toc8299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_Toc31471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1.4.2. </w:t>
          </w:r>
          <w:r>
            <w:rPr>
              <w:rFonts w:hint="eastAsia"/>
              <w:lang w:val="en-US" w:eastAsia="zh-CN"/>
            </w:rPr>
            <w:t>运维</w:t>
          </w:r>
          <w:r>
            <w:rPr>
              <w:rFonts w:hint="default"/>
              <w:lang w:val="en-US" w:eastAsia="zh-CN"/>
            </w:rPr>
            <w:t>项目经理</w:t>
          </w:r>
          <w:r>
            <w:tab/>
          </w:r>
          <w:r>
            <w:fldChar w:fldCharType="begin"/>
          </w:r>
          <w:r>
            <w:instrText xml:space="preserve"> PAGEREF _Toc31471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_Toc19541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1.4.3. 质量部</w:t>
          </w:r>
          <w:r>
            <w:tab/>
          </w:r>
          <w:r>
            <w:fldChar w:fldCharType="begin"/>
          </w:r>
          <w:r>
            <w:instrText xml:space="preserve"> PAGEREF _Toc19541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_Toc5313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引用依据</w:t>
          </w:r>
          <w:r>
            <w:tab/>
          </w:r>
          <w:r>
            <w:fldChar w:fldCharType="begin"/>
          </w:r>
          <w:r>
            <w:instrText xml:space="preserve"> PAGEREF _Toc5313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_Toc10069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定义与术语</w:t>
          </w:r>
          <w:r>
            <w:tab/>
          </w:r>
          <w:r>
            <w:fldChar w:fldCharType="begin"/>
          </w:r>
          <w:r>
            <w:instrText xml:space="preserve"> PAGEREF _Toc10069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_Toc1789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3.1. 服务目录</w:t>
          </w:r>
          <w:r>
            <w:tab/>
          </w:r>
          <w:r>
            <w:fldChar w:fldCharType="begin"/>
          </w:r>
          <w:r>
            <w:instrText xml:space="preserve"> PAGEREF _Toc1789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_Toc20752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3.2. 服务级别协议</w:t>
          </w:r>
          <w:r>
            <w:tab/>
          </w:r>
          <w:r>
            <w:fldChar w:fldCharType="begin"/>
          </w:r>
          <w:r>
            <w:instrText xml:space="preserve"> PAGEREF _Toc20752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_Toc27177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3.3. 支持合同</w:t>
          </w:r>
          <w:r>
            <w:tab/>
          </w:r>
          <w:r>
            <w:fldChar w:fldCharType="begin"/>
          </w:r>
          <w:r>
            <w:instrText xml:space="preserve"> PAGEREF _Toc27177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_Toc24981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管理内容与要求</w:t>
          </w:r>
          <w:r>
            <w:tab/>
          </w:r>
          <w:r>
            <w:fldChar w:fldCharType="begin"/>
          </w:r>
          <w:r>
            <w:instrText xml:space="preserve"> PAGEREF _Toc24981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_Toc30998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服务级别管理全生命周期</w:t>
          </w:r>
          <w:r>
            <w:tab/>
          </w:r>
          <w:r>
            <w:fldChar w:fldCharType="begin"/>
          </w:r>
          <w:r>
            <w:instrText xml:space="preserve"> PAGEREF _Toc30998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_Toc10098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4.1.1. </w:t>
          </w:r>
          <w:r>
            <w:rPr>
              <w:rFonts w:hint="eastAsia"/>
              <w:lang w:val="en-US" w:eastAsia="zh-CN"/>
            </w:rPr>
            <w:t>流程触发与启动</w:t>
          </w:r>
          <w:r>
            <w:tab/>
          </w:r>
          <w:r>
            <w:fldChar w:fldCharType="begin"/>
          </w:r>
          <w:r>
            <w:instrText xml:space="preserve"> PAGEREF _Toc10098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_Toc13108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4.1.2. 服务需求管理</w:t>
          </w:r>
          <w:r>
            <w:tab/>
          </w:r>
          <w:r>
            <w:fldChar w:fldCharType="begin"/>
          </w:r>
          <w:r>
            <w:instrText xml:space="preserve"> PAGEREF _Toc13108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_Toc11042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服务级别协议制定</w:t>
          </w:r>
          <w:r>
            <w:tab/>
          </w:r>
          <w:r>
            <w:fldChar w:fldCharType="begin"/>
          </w:r>
          <w:r>
            <w:instrText xml:space="preserve"> PAGEREF _Toc11042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_Toc4781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4.2.1. 协议内容规范</w:t>
          </w:r>
          <w:r>
            <w:tab/>
          </w:r>
          <w:r>
            <w:fldChar w:fldCharType="begin"/>
          </w:r>
          <w:r>
            <w:instrText xml:space="preserve"> PAGEREF _Toc4781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_Toc19257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4.2.2. 内部协同机制</w:t>
          </w:r>
          <w:r>
            <w:tab/>
          </w:r>
          <w:r>
            <w:fldChar w:fldCharType="begin"/>
          </w:r>
          <w:r>
            <w:instrText xml:space="preserve"> PAGEREF _Toc19257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_Toc31864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 服务目录管理</w:t>
          </w:r>
          <w:r>
            <w:tab/>
          </w:r>
          <w:r>
            <w:fldChar w:fldCharType="begin"/>
          </w:r>
          <w:r>
            <w:instrText xml:space="preserve"> PAGEREF _Toc31864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_Toc7877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4.3.1. 服务目录结构</w:t>
          </w:r>
          <w:r>
            <w:tab/>
          </w:r>
          <w:r>
            <w:fldChar w:fldCharType="begin"/>
          </w:r>
          <w:r>
            <w:instrText xml:space="preserve"> PAGEREF _Toc7877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_Toc432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4.3.2. 服务目录维护</w:t>
          </w:r>
          <w:r>
            <w:tab/>
          </w:r>
          <w:r>
            <w:fldChar w:fldCharType="begin"/>
          </w:r>
          <w:r>
            <w:instrText xml:space="preserve"> PAGEREF _Toc432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_Toc30635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4.4. 服务绩效监控</w:t>
          </w:r>
          <w:r>
            <w:tab/>
          </w:r>
          <w:r>
            <w:fldChar w:fldCharType="begin"/>
          </w:r>
          <w:r>
            <w:instrText xml:space="preserve"> PAGEREF _Toc30635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_Toc1269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4.4.1. 监控体系建立</w:t>
          </w:r>
          <w:r>
            <w:tab/>
          </w:r>
          <w:r>
            <w:fldChar w:fldCharType="begin"/>
          </w:r>
          <w:r>
            <w:instrText xml:space="preserve"> PAGEREF _Toc1269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_Toc27925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4.4.2. 服务报告管理</w:t>
          </w:r>
          <w:r>
            <w:tab/>
          </w:r>
          <w:r>
            <w:fldChar w:fldCharType="begin"/>
          </w:r>
          <w:r>
            <w:instrText xml:space="preserve"> PAGEREF _Toc27925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_Toc11181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4.5. 服务评审与改进</w:t>
          </w:r>
          <w:r>
            <w:tab/>
          </w:r>
          <w:r>
            <w:fldChar w:fldCharType="begin"/>
          </w:r>
          <w:r>
            <w:instrText xml:space="preserve"> PAGEREF _Toc11181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_Toc22059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4.5.1. 定期评审机制</w:t>
          </w:r>
          <w:r>
            <w:tab/>
          </w:r>
          <w:r>
            <w:fldChar w:fldCharType="begin"/>
          </w:r>
          <w:r>
            <w:instrText xml:space="preserve"> PAGEREF _Toc22059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_Toc595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4.5.2. 持续改进循环</w:t>
          </w:r>
          <w:r>
            <w:tab/>
          </w:r>
          <w:r>
            <w:fldChar w:fldCharType="begin"/>
          </w:r>
          <w:r>
            <w:instrText xml:space="preserve"> PAGEREF _Toc595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_Toc8102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4.6. 服务级别变更管理</w:t>
          </w:r>
          <w:r>
            <w:tab/>
          </w:r>
          <w:r>
            <w:fldChar w:fldCharType="begin"/>
          </w:r>
          <w:r>
            <w:instrText xml:space="preserve"> PAGEREF _Toc8102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_Toc13369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4.6.1. 变更触发条件</w:t>
          </w:r>
          <w:r>
            <w:tab/>
          </w:r>
          <w:r>
            <w:fldChar w:fldCharType="begin"/>
          </w:r>
          <w:r>
            <w:instrText xml:space="preserve"> PAGEREF _Toc13369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_Toc31498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4.6.2. 变更控制流程</w:t>
          </w:r>
          <w:r>
            <w:tab/>
          </w:r>
          <w:r>
            <w:fldChar w:fldCharType="begin"/>
          </w:r>
          <w:r>
            <w:instrText xml:space="preserve"> PAGEREF _Toc31498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_Toc31339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4.7. 关键绩效指标</w:t>
          </w:r>
          <w:r>
            <w:tab/>
          </w:r>
          <w:r>
            <w:fldChar w:fldCharType="begin"/>
          </w:r>
          <w:r>
            <w:instrText xml:space="preserve"> PAGEREF _Toc31339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_Toc7294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附则</w:t>
          </w:r>
          <w:r>
            <w:tab/>
          </w:r>
          <w:r>
            <w:fldChar w:fldCharType="begin"/>
          </w:r>
          <w:r>
            <w:instrText xml:space="preserve"> PAGEREF _Toc7294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_Toc17042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 附件</w:t>
          </w:r>
          <w:r>
            <w:tab/>
          </w:r>
          <w:r>
            <w:fldChar w:fldCharType="begin"/>
          </w:r>
          <w:r>
            <w:instrText xml:space="preserve"> PAGEREF _Toc17042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_Toc9375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7. 记录</w:t>
          </w:r>
          <w:r>
            <w:tab/>
          </w:r>
          <w:r>
            <w:fldChar w:fldCharType="begin"/>
          </w:r>
          <w:r>
            <w:instrText xml:space="preserve"> PAGEREF _Toc9375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" w:name="_Toc10668"/>
      <w:r>
        <w:rPr>
          <w:rFonts w:hint="eastAsia"/>
          <w:lang w:val="en-US" w:eastAsia="zh-CN"/>
        </w:rPr>
        <w:t>总则</w:t>
      </w:r>
      <w:bookmarkEnd w:id="3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" w:name="_Toc12550"/>
      <w:r>
        <w:rPr>
          <w:rFonts w:hint="default"/>
          <w:lang w:val="en-US" w:eastAsia="zh-CN"/>
        </w:rPr>
        <w:t>目的</w:t>
      </w:r>
      <w:bookmarkEnd w:id="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为规范公司运维服务的级别管理，通过一套固定的流程对服务绩效进行协商、监控、评价与报告，确保服务质量既符合业务需求与成本约束，又能持续提升客户满意度，并有效督促服务提供方，特制定本制度。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5" w:name="_Toc11287"/>
      <w:r>
        <w:rPr>
          <w:rFonts w:hint="default"/>
          <w:lang w:val="en-US" w:eastAsia="zh-CN"/>
        </w:rPr>
        <w:t>适用范围</w:t>
      </w:r>
      <w:bookmarkEnd w:id="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本制度适用于公司所有为客户提供的运维服务，涵盖服务级别的定义、协商、监控、评审与改进全过程。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6" w:name="_Toc18616"/>
      <w:r>
        <w:rPr>
          <w:rFonts w:hint="default"/>
          <w:lang w:val="en-US" w:eastAsia="zh-CN"/>
        </w:rPr>
        <w:t>原则</w:t>
      </w:r>
      <w:bookmarkEnd w:id="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客户导向原则：服务级别的设定必须以客户业务需求和期望为中心。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量化可控原则：服务目标应可测量、可监控、可管理。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协商一致原则：所有服务级别协议均需与客户充分沟通、协商并达成一致。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持续改进原则：定期评审服务绩效，推动服务质量的持续提升。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7" w:name="_Toc17865"/>
      <w:r>
        <w:rPr>
          <w:rFonts w:hint="default"/>
          <w:lang w:val="en-US" w:eastAsia="zh-CN"/>
        </w:rPr>
        <w:t>岗位职责</w:t>
      </w:r>
      <w:bookmarkEnd w:id="7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8" w:name="_Toc8299"/>
      <w:r>
        <w:rPr>
          <w:rFonts w:hint="eastAsia"/>
          <w:lang w:val="en-US" w:eastAsia="zh-CN"/>
        </w:rPr>
        <w:t>运维部经理</w:t>
      </w:r>
      <w:bookmarkEnd w:id="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负责编制与更新服务目录；定义和维护服务级别管理过程；跟踪、监控和评审服务级别协议的执行情况。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9" w:name="_Toc31471"/>
      <w:r>
        <w:rPr>
          <w:rFonts w:hint="eastAsia"/>
          <w:lang w:val="en-US" w:eastAsia="zh-CN"/>
        </w:rPr>
        <w:t>运维</w:t>
      </w:r>
      <w:r>
        <w:rPr>
          <w:rFonts w:hint="default"/>
          <w:lang w:val="en-US" w:eastAsia="zh-CN"/>
        </w:rPr>
        <w:t>项目经理</w:t>
      </w:r>
      <w:bookmarkEnd w:id="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负责识别客户需求，与客户协商并签订《服务级别协议》；依据协议完成服务规划与部署；监测服务质量，落实改进措施；组织客户进行服务评价，并调整下一周期的协议。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0" w:name="_Toc19541"/>
      <w:r>
        <w:rPr>
          <w:rFonts w:hint="default"/>
          <w:lang w:val="en-US" w:eastAsia="zh-CN"/>
        </w:rPr>
        <w:t>质量部</w:t>
      </w:r>
      <w:bookmarkEnd w:id="1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负责监督本流程的执行质量，并参与服务级别目标的内部评审。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1" w:name="_Toc5313"/>
      <w:r>
        <w:rPr>
          <w:rFonts w:hint="default"/>
          <w:lang w:val="en-US" w:eastAsia="zh-CN"/>
        </w:rPr>
        <w:t>引用依据</w:t>
      </w:r>
      <w:bookmarkEnd w:id="11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本制度的制定遵循并引用以下国家标准与行业规范：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GB/T 28827.1-2022 《信息技术服务 运行维护 第1部分：通用要求》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GB/T 28827.2-2012 《信息技术服务 运行维护 第2部分：交付规范》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GB/T 28827.3-2012 《信息技术服务 运行维护 第3部分：应急响应规范》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T/CESA 1299—2023 《信息技术服务 运行维护服务能力成熟度模型》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2" w:name="_Toc10069"/>
      <w:r>
        <w:rPr>
          <w:rFonts w:hint="default"/>
          <w:lang w:val="en-US" w:eastAsia="zh-CN"/>
        </w:rPr>
        <w:t>定义与术语</w:t>
      </w:r>
      <w:bookmarkEnd w:id="12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3" w:name="_Toc1789"/>
      <w:r>
        <w:rPr>
          <w:rFonts w:hint="default"/>
          <w:lang w:val="en-US" w:eastAsia="zh-CN"/>
        </w:rPr>
        <w:t>服务目录</w:t>
      </w:r>
      <w:bookmarkEnd w:id="1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服务提供方以客户语言记录的、关于所有可提供服务的概要信息文件，是协调客户期望、促进双方理解的重要沟通工具。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4" w:name="_Toc20752"/>
      <w:r>
        <w:rPr>
          <w:rFonts w:hint="default"/>
          <w:lang w:val="en-US" w:eastAsia="zh-CN"/>
        </w:rPr>
        <w:t>服务级别协议</w:t>
      </w:r>
      <w:bookmarkEnd w:id="1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服务提供方与客户就服务的质量、性能、范围等方面所达成的双方共同认可的书面协议。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5" w:name="_Toc27177"/>
      <w:r>
        <w:rPr>
          <w:rFonts w:hint="default"/>
          <w:lang w:val="en-US" w:eastAsia="zh-CN"/>
        </w:rPr>
        <w:t>支持合同</w:t>
      </w:r>
      <w:bookmarkEnd w:id="1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为支撑SLA的履行，与服务提供方内部团队或第三方供应商签订的关于技术支持、资源保障等方面的协议。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6" w:name="_Toc24981"/>
      <w:r>
        <w:rPr>
          <w:rFonts w:hint="default"/>
          <w:lang w:val="en-US" w:eastAsia="zh-CN"/>
        </w:rPr>
        <w:t>管理内容与要求</w:t>
      </w:r>
      <w:bookmarkEnd w:id="16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7" w:name="_Toc30998"/>
      <w:r>
        <w:rPr>
          <w:rFonts w:hint="eastAsia"/>
          <w:lang w:val="en-US" w:eastAsia="zh-CN"/>
        </w:rPr>
        <w:t>服务级别管理全生命周期</w:t>
      </w:r>
      <w:bookmarkEnd w:id="17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8" w:name="_Toc10098"/>
      <w:r>
        <w:rPr>
          <w:rFonts w:hint="eastAsia"/>
          <w:lang w:val="en-US" w:eastAsia="zh-CN"/>
        </w:rPr>
        <w:t>流程触发与启动</w:t>
      </w:r>
      <w:bookmarkEnd w:id="1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当出现以下情况之一时，必须启动服务级别管理流程：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有新的运维服务项目被批准时。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现有服务发生重大变更并被批准时。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公司服务战略、运维能力或资源支持发生本质性变动，需要更新服务级别时。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9" w:name="_Toc13108"/>
      <w:r>
        <w:rPr>
          <w:rFonts w:hint="default"/>
          <w:lang w:val="en-US" w:eastAsia="zh-CN"/>
        </w:rPr>
        <w:t>服务需求管理</w:t>
      </w:r>
      <w:bookmarkEnd w:id="1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需求调研：采用标准化问卷、深度访谈、工作坊等多种形式，全面收集客户业务需求和服务期望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需求分析：将客户需求转化为可量化的服务指标，建立需求优先级矩阵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需求确认：形成《客户服务需求说明书》，经双方确认后作为SLA制定基础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0" w:name="_Toc11042"/>
      <w:r>
        <w:rPr>
          <w:rFonts w:hint="default"/>
          <w:lang w:val="en-US" w:eastAsia="zh-CN"/>
        </w:rPr>
        <w:t>服务级别协议制定</w:t>
      </w:r>
      <w:bookmarkEnd w:id="20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1" w:name="_Toc4781"/>
      <w:r>
        <w:rPr>
          <w:rFonts w:hint="default"/>
          <w:lang w:val="en-US" w:eastAsia="zh-CN"/>
        </w:rPr>
        <w:t>协议内容规范</w:t>
      </w:r>
      <w:bookmarkEnd w:id="21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SLA必须包含以下核心内容：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服务概述和目标业务价值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服务范围和排除范围说明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服务时间安排和响应时效承诺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关键绩效指标（KPI）及测量方法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服务报告内容和频次要求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双方责任和义务界定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服务费用结构和计费方式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违约处理和争议解决机制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协议变更和终止条款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2" w:name="_Toc19257"/>
      <w:r>
        <w:rPr>
          <w:rFonts w:hint="default"/>
          <w:lang w:val="en-US" w:eastAsia="zh-CN"/>
        </w:rPr>
        <w:t>内部协同机制</w:t>
      </w:r>
      <w:bookmarkEnd w:id="22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建立跨部门评审流程，确保SLA的技术可行性、财务合理性和法律合规性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制定支撑合同（OLA），明确内部团队的服务承诺和责任分工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与第三方供应商签订 underpinning contract，确保外部资源支持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3" w:name="_Toc31864"/>
      <w:r>
        <w:rPr>
          <w:rFonts w:hint="default"/>
          <w:lang w:val="en-US" w:eastAsia="zh-CN"/>
        </w:rPr>
        <w:t>服务目录管理</w:t>
      </w:r>
      <w:bookmarkEnd w:id="23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4" w:name="_Toc7877"/>
      <w:r>
        <w:rPr>
          <w:rFonts w:hint="default"/>
          <w:lang w:val="en-US" w:eastAsia="zh-CN"/>
        </w:rPr>
        <w:t>服务目录结构</w:t>
      </w:r>
      <w:bookmarkEnd w:id="2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建立分层级的服务目录体系：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业务服务目录：以客户业务语言描述服务价值和成果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技术服务目录：以技术术语描述服务组件和配置项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内部服务目录：定义内部支撑服务和资源分配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5" w:name="_Toc432"/>
      <w:r>
        <w:rPr>
          <w:rFonts w:hint="default"/>
          <w:lang w:val="en-US" w:eastAsia="zh-CN"/>
        </w:rPr>
        <w:t>服务目录维护</w:t>
      </w:r>
      <w:bookmarkEnd w:id="2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每季度更新服务目录，确保与实际情况一致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建立服务目录变更控制流程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定期向客户发布服务目录版本更新说明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6" w:name="_Toc30635"/>
      <w:r>
        <w:rPr>
          <w:rFonts w:hint="default"/>
          <w:lang w:val="en-US" w:eastAsia="zh-CN"/>
        </w:rPr>
        <w:t>服务绩效监控</w:t>
      </w:r>
      <w:bookmarkEnd w:id="26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7" w:name="_Toc1269"/>
      <w:r>
        <w:rPr>
          <w:rFonts w:hint="default"/>
          <w:lang w:val="en-US" w:eastAsia="zh-CN"/>
        </w:rPr>
        <w:t>监控体系建立</w:t>
      </w:r>
      <w:bookmarkEnd w:id="27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设计完整的KPI监控指标体系，涵盖可用性、可靠性、响应性等维度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部署自动化监控工具，实现服务数据的实时采集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建立数据质量控制机制，确保监控数据的准确性和完整性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8" w:name="_Toc27925"/>
      <w:r>
        <w:rPr>
          <w:rFonts w:hint="default"/>
          <w:lang w:val="en-US" w:eastAsia="zh-CN"/>
        </w:rPr>
        <w:t>服务报告管理</w:t>
      </w:r>
      <w:bookmarkEnd w:id="2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报告周期：按周、月、季度生成不同深度的服务报告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报告内容：包括KPI达成情况、趋势分析、重大事件回顾、改进计划等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报告分发：确保报告及时送达相关干系人，并收集反馈意见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9" w:name="_Toc11181"/>
      <w:r>
        <w:rPr>
          <w:rFonts w:hint="default"/>
          <w:lang w:val="en-US" w:eastAsia="zh-CN"/>
        </w:rPr>
        <w:t>服务评审与改进</w:t>
      </w:r>
      <w:bookmarkEnd w:id="29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0" w:name="_Toc22059"/>
      <w:r>
        <w:rPr>
          <w:rFonts w:hint="default"/>
          <w:lang w:val="en-US" w:eastAsia="zh-CN"/>
        </w:rPr>
        <w:t>定期评审机制</w:t>
      </w:r>
      <w:bookmarkEnd w:id="3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季度业务评审：与客户共同回顾服务绩效，讨论业务需求变化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月度运营评审：内部评估服务交付情况，分析运营问题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专项评审：针对重大事件或性能偏差进行深度分析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1" w:name="_Toc595"/>
      <w:r>
        <w:rPr>
          <w:rFonts w:hint="default"/>
          <w:lang w:val="en-US" w:eastAsia="zh-CN"/>
        </w:rPr>
        <w:t>持续改进循环</w:t>
      </w:r>
      <w:bookmarkEnd w:id="31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建立系统化的改进机制：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分析服务差距的根本原因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制定具体的改进措施和行动计划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跟踪改进措施的执行效果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将有效实践标准化并推广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2" w:name="_Toc8102"/>
      <w:r>
        <w:rPr>
          <w:rFonts w:hint="default"/>
          <w:lang w:val="en-US" w:eastAsia="zh-CN"/>
        </w:rPr>
        <w:t>服务级别变更管理</w:t>
      </w:r>
      <w:bookmarkEnd w:id="32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3" w:name="_Toc13369"/>
      <w:r>
        <w:rPr>
          <w:rFonts w:hint="default"/>
          <w:lang w:val="en-US" w:eastAsia="zh-CN"/>
        </w:rPr>
        <w:t>变更触发条件</w:t>
      </w:r>
      <w:bookmarkEnd w:id="3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客户业务需求发生重大变化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服务绩效持续不达标需要调整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技术环境或服务模式发生变更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成本结构或资源状况发生变化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4" w:name="_Toc31498"/>
      <w:r>
        <w:rPr>
          <w:rFonts w:hint="default"/>
          <w:lang w:val="en-US" w:eastAsia="zh-CN"/>
        </w:rPr>
        <w:t>变更控制流程</w:t>
      </w:r>
      <w:bookmarkEnd w:id="3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变更请求的提交和评估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变更影响分析和方案制定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客户沟通和协商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变更实施和效果验证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5" w:name="_Toc31339"/>
      <w:r>
        <w:rPr>
          <w:rFonts w:hint="default"/>
          <w:lang w:val="en-US" w:eastAsia="zh-CN"/>
        </w:rPr>
        <w:t>关键绩效指标</w:t>
      </w:r>
      <w:bookmarkEnd w:id="3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为衡量服务级别管理成效，设定以下核心考核指标：</w:t>
      </w:r>
      <w:r>
        <w:rPr>
          <w:rFonts w:hint="eastAsia"/>
          <w:lang w:val="en-US" w:eastAsia="zh-CN"/>
        </w:rPr>
        <w:t>如表4-1所示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关键绩效指标表</w:t>
      </w:r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1"/>
        <w:gridCol w:w="1387"/>
        <w:gridCol w:w="4089"/>
        <w:gridCol w:w="1107"/>
        <w:gridCol w:w="1094"/>
      </w:tblGrid>
      <w:tr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序号</w:t>
            </w:r>
          </w:p>
        </w:tc>
        <w:tc>
          <w:tcPr>
            <w:tcW w:w="138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衡量指标</w:t>
            </w:r>
          </w:p>
        </w:tc>
        <w:tc>
          <w:tcPr>
            <w:tcW w:w="40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指标计算说明</w:t>
            </w:r>
          </w:p>
        </w:tc>
        <w:tc>
          <w:tcPr>
            <w:tcW w:w="110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考核频次</w:t>
            </w:r>
          </w:p>
        </w:tc>
        <w:tc>
          <w:tcPr>
            <w:tcW w:w="1094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目标值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387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SLA达成率</w:t>
            </w:r>
          </w:p>
        </w:tc>
        <w:tc>
          <w:tcPr>
            <w:tcW w:w="4089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sz w:val="21"/>
                <w:szCs w:val="21"/>
              </w:rPr>
              <w:t>(满足服务级别的事件数/事件总数)*100%</w:t>
            </w:r>
          </w:p>
        </w:tc>
        <w:tc>
          <w:tcPr>
            <w:tcW w:w="1107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季度</w:t>
            </w:r>
          </w:p>
        </w:tc>
        <w:tc>
          <w:tcPr>
            <w:tcW w:w="1094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≥95%</w:t>
            </w:r>
          </w:p>
        </w:tc>
      </w:tr>
    </w:tbl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center"/>
        <w:textAlignment w:val="baseline"/>
        <w:rPr>
          <w:rFonts w:hint="default"/>
          <w:lang w:val="en-US" w:eastAsia="zh-CN"/>
        </w:rPr>
      </w:pP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6" w:name="_Toc7294"/>
      <w:r>
        <w:rPr>
          <w:rFonts w:hint="default"/>
          <w:lang w:val="en-US" w:eastAsia="zh-CN"/>
        </w:rPr>
        <w:t>附则</w:t>
      </w:r>
      <w:bookmarkEnd w:id="3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本制度最终解释权和修订权归</w:t>
      </w:r>
      <w:r>
        <w:rPr>
          <w:rFonts w:hint="eastAsia"/>
          <w:lang w:val="en-US" w:eastAsia="zh-CN"/>
        </w:rPr>
        <w:t>运维部</w:t>
      </w:r>
      <w:r>
        <w:rPr>
          <w:rFonts w:hint="default"/>
          <w:lang w:val="en-US" w:eastAsia="zh-CN"/>
        </w:rPr>
        <w:t>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本制度自颁布之日起施行。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7" w:name="_Toc17042"/>
      <w:r>
        <w:rPr>
          <w:rFonts w:hint="default"/>
          <w:lang w:val="en-US" w:eastAsia="zh-CN"/>
        </w:rPr>
        <w:t>附件</w:t>
      </w:r>
      <w:bookmarkEnd w:id="37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right="0" w:hanging="425" w:leftChars="0" w:rightChars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《服务级别协议（模板）》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right="0" w:hanging="425" w:leftChars="0" w:rightChars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《服务级别管理监控记录表》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right="0" w:hanging="425" w:leftChars="0" w:rightChars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《服务级别评审表》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8" w:name="_Toc9375"/>
      <w:r>
        <w:rPr>
          <w:rFonts w:hint="default"/>
          <w:lang w:val="en-US" w:eastAsia="zh-CN"/>
        </w:rPr>
        <w:t>记录</w:t>
      </w:r>
      <w:bookmarkEnd w:id="38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right="0" w:hanging="425" w:leftChars="0" w:rightChars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《服务报告》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right="0" w:hanging="425" w:leftChars="0" w:rightChars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《服务级别评审会议纪要》</w:t>
      </w:r>
    </w:p>
    <w:sectPr>
      <w:headerReference w:type="default" r:id="rId6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天津图云智能科技有限公司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B55C7C76"/>
    <w:multiLevelType w:val="singleLevel"/>
    <w:tmpl w:val="B55C7C7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D8A226E6"/>
    <w:multiLevelType w:val="singleLevel"/>
    <w:tmpl w:val="D8A226E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1ACBFE8F"/>
    <w:multiLevelType w:val="singleLevel"/>
    <w:tmpl w:val="1ACBFE8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1FDF9281"/>
    <w:multiLevelType w:val="singleLevel"/>
    <w:tmpl w:val="1FDF9281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370987C9"/>
    <w:multiLevelType w:val="singleLevel"/>
    <w:tmpl w:val="370987C9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6477A7C3"/>
    <w:multiLevelType w:val="singleLevel"/>
    <w:tmpl w:val="6477A7C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6"/>
  </w:num>
  <w:num w:numId="4">
    <w:abstractNumId w:val="4"/>
  </w:num>
  <w:num w:numId="5">
    <w:abstractNumId w:val="3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header" Target="head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2269</Words>
  <Characters>2552</Characters>
  <Application>Microsoft Office Word</Application>
  <DocSecurity>0</DocSecurity>
  <Lines>0</Lines>
  <Paragraphs>0</Paragraphs>
  <ScaleCrop>false</ScaleCrop>
  <Company/>
  <LinksUpToDate>false</LinksUpToDate>
  <CharactersWithSpaces>2719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2025-12-02T11:11:53Z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