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27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193"/>
      <w:r>
        <w:rPr>
          <w:rFonts w:hint="eastAsia"/>
          <w:lang w:val="en-US" w:eastAsia="zh-CN"/>
        </w:rPr>
        <w:t>服务报告管理制度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_Toc23278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服务报告管理制度</w:t>
          </w:r>
          <w:r>
            <w:tab/>
          </w:r>
          <w:r>
            <w:fldChar w:fldCharType="begin"/>
          </w:r>
          <w:r>
            <w:instrText xml:space="preserve"> PAGEREF _Toc15193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_Toc18465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_Toc3231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_Toc4533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_Toc1294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_Toc11691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_Toc9414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_Toc16844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_Toc9258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服务报告</w:t>
          </w:r>
          <w:r>
            <w:tab/>
          </w:r>
          <w:r>
            <w:fldChar w:fldCharType="begin"/>
          </w:r>
          <w:r>
            <w:instrText xml:space="preserve"> PAGEREF _Toc20336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被动服务报告</w:t>
          </w:r>
          <w:r>
            <w:tab/>
          </w:r>
          <w:r>
            <w:fldChar w:fldCharType="begin"/>
          </w:r>
          <w:r>
            <w:instrText xml:space="preserve"> PAGEREF _Toc6767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主动服务报告</w:t>
          </w:r>
          <w:r>
            <w:tab/>
          </w:r>
          <w:r>
            <w:fldChar w:fldCharType="begin"/>
          </w:r>
          <w:r>
            <w:instrText xml:space="preserve"> PAGEREF _Toc18228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进展服务报告</w:t>
          </w:r>
          <w:r>
            <w:tab/>
          </w:r>
          <w:r>
            <w:fldChar w:fldCharType="begin"/>
          </w:r>
          <w:r>
            <w:instrText xml:space="preserve"> PAGEREF _Toc31502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_Toc18099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服务报告全生命周期管理</w:t>
          </w:r>
          <w:r>
            <w:tab/>
          </w:r>
          <w:r>
            <w:fldChar w:fldCharType="begin"/>
          </w:r>
          <w:r>
            <w:instrText xml:space="preserve"> PAGEREF _Toc11546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rPr>
              <w:rFonts w:hint="eastAsia"/>
            </w:rPr>
            <w:t>报告策划与定义</w:t>
          </w:r>
          <w:r>
            <w:tab/>
          </w:r>
          <w:r>
            <w:fldChar w:fldCharType="begin"/>
          </w:r>
          <w:r>
            <w:instrText xml:space="preserve"> PAGEREF _Toc24849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4.1.2. </w:t>
          </w:r>
          <w:r>
            <w:rPr>
              <w:rFonts w:hint="eastAsia"/>
            </w:rPr>
            <w:t>报告计划制定</w:t>
          </w:r>
          <w:r>
            <w:tab/>
          </w:r>
          <w:r>
            <w:fldChar w:fldCharType="begin"/>
          </w:r>
          <w:r>
            <w:instrText xml:space="preserve"> PAGEREF _Toc1564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报告类型与内容规范</w:t>
          </w:r>
          <w:r>
            <w:tab/>
          </w:r>
          <w:r>
            <w:fldChar w:fldCharType="begin"/>
          </w:r>
          <w:r>
            <w:instrText xml:space="preserve"> PAGEREF _Toc12508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报告分类体系</w:t>
          </w:r>
          <w:r>
            <w:tab/>
          </w:r>
          <w:r>
            <w:fldChar w:fldCharType="begin"/>
          </w:r>
          <w:r>
            <w:instrText xml:space="preserve"> PAGEREF _Toc3302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报告内容标准</w:t>
          </w:r>
          <w:r>
            <w:tab/>
          </w:r>
          <w:r>
            <w:fldChar w:fldCharType="begin"/>
          </w:r>
          <w:r>
            <w:instrText xml:space="preserve"> PAGEREF _Toc9751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数据质量管理</w:t>
          </w:r>
          <w:r>
            <w:tab/>
          </w:r>
          <w:r>
            <w:fldChar w:fldCharType="begin"/>
          </w:r>
          <w:r>
            <w:instrText xml:space="preserve"> PAGEREF _Toc19463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数据采集规范</w:t>
          </w:r>
          <w:r>
            <w:tab/>
          </w:r>
          <w:r>
            <w:fldChar w:fldCharType="begin"/>
          </w:r>
          <w:r>
            <w:instrText xml:space="preserve"> PAGEREF _Toc22882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数据质量控制</w:t>
          </w:r>
          <w:r>
            <w:tab/>
          </w:r>
          <w:r>
            <w:fldChar w:fldCharType="begin"/>
          </w:r>
          <w:r>
            <w:instrText xml:space="preserve"> PAGEREF _Toc30908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报告生成与评审</w:t>
          </w:r>
          <w:r>
            <w:tab/>
          </w:r>
          <w:r>
            <w:fldChar w:fldCharType="begin"/>
          </w:r>
          <w:r>
            <w:instrText xml:space="preserve"> PAGEREF _Toc13726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报告生成流程</w:t>
          </w:r>
          <w:r>
            <w:tab/>
          </w:r>
          <w:r>
            <w:fldChar w:fldCharType="begin"/>
          </w:r>
          <w:r>
            <w:instrText xml:space="preserve"> PAGEREF _Toc6806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多级评审机制</w:t>
          </w:r>
          <w:r>
            <w:tab/>
          </w:r>
          <w:r>
            <w:fldChar w:fldCharType="begin"/>
          </w:r>
          <w:r>
            <w:instrText xml:space="preserve"> PAGEREF _Toc4996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报告分发与使用</w:t>
          </w:r>
          <w:r>
            <w:tab/>
          </w:r>
          <w:r>
            <w:fldChar w:fldCharType="begin"/>
          </w:r>
          <w:r>
            <w:instrText xml:space="preserve"> PAGEREF _Toc303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4.5.1. </w:t>
          </w:r>
          <w:r>
            <w:rPr>
              <w:rFonts w:hint="eastAsia"/>
            </w:rPr>
            <w:t>分发管理</w:t>
          </w:r>
          <w:r>
            <w:tab/>
          </w:r>
          <w:r>
            <w:fldChar w:fldCharType="begin"/>
          </w:r>
          <w:r>
            <w:instrText xml:space="preserve"> PAGEREF _Toc32505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4.5.2. </w:t>
          </w:r>
          <w:r>
            <w:rPr>
              <w:rFonts w:hint="eastAsia"/>
            </w:rPr>
            <w:t>效果评估</w:t>
          </w:r>
          <w:r>
            <w:tab/>
          </w:r>
          <w:r>
            <w:fldChar w:fldCharType="begin"/>
          </w:r>
          <w:r>
            <w:instrText xml:space="preserve"> PAGEREF _Toc164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</w:rPr>
            <w:t>报告归档与知识管理</w:t>
          </w:r>
          <w:r>
            <w:tab/>
          </w:r>
          <w:r>
            <w:fldChar w:fldCharType="begin"/>
          </w:r>
          <w:r>
            <w:instrText xml:space="preserve"> PAGEREF _Toc23610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4.6.1. </w:t>
          </w:r>
          <w:r>
            <w:rPr>
              <w:rFonts w:hint="eastAsia"/>
            </w:rPr>
            <w:t>归档管理</w:t>
          </w:r>
          <w:r>
            <w:tab/>
          </w:r>
          <w:r>
            <w:fldChar w:fldCharType="begin"/>
          </w:r>
          <w:r>
            <w:instrText xml:space="preserve"> PAGEREF _Toc29351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4.6.2. </w:t>
          </w:r>
          <w:r>
            <w:rPr>
              <w:rFonts w:hint="eastAsia"/>
            </w:rPr>
            <w:t>知识转化</w:t>
          </w:r>
          <w:r>
            <w:tab/>
          </w:r>
          <w:r>
            <w:fldChar w:fldCharType="begin"/>
          </w:r>
          <w:r>
            <w:instrText xml:space="preserve"> PAGEREF _Toc4868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</w:rPr>
            <w:t>关键控制点与测量指标</w:t>
          </w:r>
          <w:r>
            <w:tab/>
          </w:r>
          <w:r>
            <w:fldChar w:fldCharType="begin"/>
          </w:r>
          <w:r>
            <w:instrText xml:space="preserve"> PAGEREF _Toc10604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_Toc22635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_Toc10943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_Toc13309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34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" w:name="_Toc18465"/>
      <w:r>
        <w:rPr>
          <w:rFonts w:hint="eastAsia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为规范公司运维服务报告的编制、评审、提交与归档过程，确保报告内容可靠、准确，能够有效反映服务级别协议的达成情况，支持管理层决策，并驱动服务的持续改进，特制定本制度。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4" w:name="_Toc3231"/>
      <w:r>
        <w:rPr>
          <w:rFonts w:hint="eastAsia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本制度适用于运维部为满足客户及内部管理需求，而进行的服务报告策划、生成与分发的全过程。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5" w:name="_Toc2855"/>
      <w:r>
        <w:rPr>
          <w:rFonts w:hint="eastAsia"/>
        </w:rPr>
        <w:t>原则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准确性原则：报告数据必须真实、准确，分析结论应基于客观事实。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及时性原则：报告应按计划的时间周期准时生成与提交。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相关性原则：报告内容应聚焦于关键服务指标，满足不同受众的决策需求。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持续改进原则：报告应能揭示服务差距，为制定纠正与预防措施提供输入。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6" w:name="_Toc4533"/>
      <w:r>
        <w:rPr>
          <w:rFonts w:hint="eastAsia"/>
        </w:rPr>
        <w:t>岗位职责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1294"/>
      <w:r>
        <w:rPr>
          <w:rFonts w:hint="eastAsia"/>
          <w:lang w:val="en-US" w:eastAsia="zh-CN"/>
        </w:rPr>
        <w:t>运维项目经理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负责识别报告需求、定义报告类型、编写《服务报告计划》、收集分析数据、编制《服务报告》，并推动报告分发与归档。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8" w:name="_Toc11691"/>
      <w:r>
        <w:rPr>
          <w:rFonts w:hint="eastAsia"/>
        </w:rPr>
        <w:t>运维部经理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负责审核并批准《服务报告计划》与《服务报告》，监督本制度的执行情况。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9414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</w:t>
      </w:r>
      <w:r>
        <w:rPr>
          <w:rFonts w:hint="eastAsia"/>
          <w:lang w:val="en-US" w:eastAsia="zh-CN"/>
        </w:rPr>
        <w:t>提供准</w:t>
      </w:r>
      <w:r>
        <w:rPr>
          <w:rFonts w:hint="eastAsia"/>
        </w:rPr>
        <w:t>确、及时的基础流程数据，支持服务报告的编制。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0" w:name="_Toc16844"/>
      <w:r>
        <w:rPr>
          <w:rFonts w:hint="eastAsia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本制度的制定遵循并引用以下国家标准与行业规范：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_Toc9258"/>
      <w:r>
        <w:rPr>
          <w:rFonts w:hint="eastAsia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20336"/>
      <w:r>
        <w:rPr>
          <w:rFonts w:hint="eastAsia"/>
        </w:rPr>
        <w:t>服务报告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基于服务数据，对服务绩效进行分析和总结的正式文件，用于向客户和管理层沟通服务现状、趋势和改进措施。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6767"/>
      <w:r>
        <w:rPr>
          <w:rFonts w:hint="eastAsia"/>
        </w:rPr>
        <w:t>被动服务报告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主要报告已经发生的服务绩效，包括与SLA目标的对比、不符合项、工作量特性及重大事件回顾等。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18228"/>
      <w:r>
        <w:rPr>
          <w:rFonts w:hint="eastAsia"/>
        </w:rPr>
        <w:t>主动服务报告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侧重于趋势分析和预警，预测潜在的服务风险或SLA违规，以支持预防性措施的制定。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31502"/>
      <w:r>
        <w:rPr>
          <w:rFonts w:hint="eastAsia"/>
        </w:rPr>
        <w:t>进展服务报告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主要报告未来计划，包括工作量预测、变更计划及可能发生的事件预告。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18099"/>
      <w:r>
        <w:rPr>
          <w:rFonts w:hint="eastAsia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11546"/>
      <w:r>
        <w:rPr>
          <w:rFonts w:hint="eastAsia"/>
        </w:rPr>
        <w:t>服务报告全生命周期管理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24849"/>
      <w:r>
        <w:rPr>
          <w:rFonts w:hint="eastAsia"/>
        </w:rPr>
        <w:t>报告策划与定义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建立系统化的报告策划机制，确保服务报告的有效性和针对性：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需求分析：运维项目经理应定期（至少每半年一次）与客户及内部管理层沟通，识别报告需求变化，更新《服务报告需求清单》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受众分析：针对不同受众（如客户管理层、业务部门、技术团队）定义差异化的报告内容和呈现形式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指标定义：基于服务级别协议（SLA）和运营级别协议（OLA），明确报告中需要包含的核心指标及其计算方式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1564"/>
      <w:r>
        <w:rPr>
          <w:rFonts w:hint="eastAsia"/>
        </w:rPr>
        <w:t>报告计划制定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报告矩阵：建立服务报告矩阵，明确各类报告的频次、提交时间、责任人和受众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计划审批：《服务报告计划》需经运维部经理审核批准，重大变更需重新评审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计划发布：批准后的报告计划应在相关方间共享，确保各方预期一致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12508"/>
      <w:r>
        <w:rPr>
          <w:rFonts w:hint="eastAsia"/>
        </w:rPr>
        <w:t>报告类型与内容规范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1" w:name="_Toc3302"/>
      <w:r>
        <w:rPr>
          <w:rFonts w:hint="eastAsia"/>
        </w:rPr>
        <w:t>报告分类体系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</w:rPr>
        <w:t>建立完整的报告分类体系，满足不同管理需求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服务报告分类体系如表4-1所示。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>SEQ 表 \* ARABIC  \s 1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服务报告分类体系表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报告类型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核心内容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提交频次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运维绩效报告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SLA达成率情况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服务质量报告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可用性、连续性、容量报告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风险预警报告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趋势分析、风险识别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改进进展报告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改进措施执行情况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2" w:name="_Toc9751"/>
      <w:r>
        <w:rPr>
          <w:rFonts w:hint="eastAsia"/>
        </w:rPr>
        <w:t>报告内容标准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各类报告应包含以下核心内容：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执行摘要：关键发现和建议的概要说明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绩效分析：与目标的对比分析、趋势识别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根本原因分析：重大偏差的根本原因分析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改进建议：具体的纠正和预防措施建议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行动计划：明确的责任分工和时间表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3" w:name="_Toc19463"/>
      <w:r>
        <w:rPr>
          <w:rFonts w:hint="eastAsia"/>
        </w:rPr>
        <w:t>数据质量管理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4" w:name="_Toc22882"/>
      <w:bookmarkStart w:id="25" w:name="_GoBack"/>
      <w:bookmarkEnd w:id="25"/>
      <w:r>
        <w:rPr>
          <w:rFonts w:hint="eastAsia"/>
        </w:rPr>
        <w:t>数据采集规范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数据源管理：建立数据源清单，明确各数据源的责任人和质量要求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采集频率：根据指标特性设定合理的采集频率，确保数据时效性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数据验证：建立数据验证机制，包括完整性检查、合理性校验等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6" w:name="_Toc30908"/>
      <w:r>
        <w:rPr>
          <w:rFonts w:hint="eastAsia"/>
        </w:rPr>
        <w:t>数据质量控制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质量指标：设定数据准确性、完整性、及时性等质量指标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异常处理：建立数据异常识别和处理流程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质量审计：定期对数据质量进行审计，确保数据可靠性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7" w:name="_Toc13726"/>
      <w:r>
        <w:rPr>
          <w:rFonts w:hint="eastAsia"/>
        </w:rPr>
        <w:t>报告生成与评审</w:t>
      </w:r>
      <w:bookmarkEnd w:id="2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8" w:name="_Toc6806"/>
      <w:r>
        <w:rPr>
          <w:rFonts w:hint="eastAsia"/>
        </w:rPr>
        <w:t>报告生成流程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模板化管理：建立标准化的报告模板，确保格式统一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自动化支持：尽可能采用自动化工具生成报告，减少人工错误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版本控制：建立报告版本管理机制，确保可追溯性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9" w:name="_Toc4996"/>
      <w:r>
        <w:rPr>
          <w:rFonts w:hint="eastAsia"/>
        </w:rPr>
        <w:t>多级评审机制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建立分层次的报告评审机制：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技术评审：由运维工程师验证数据准确性和计算方法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管理评审：由运维部经理审核分析结论和建议的合理性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客户确认：关键报告需经客户确认为最终版本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0" w:name="_Toc303"/>
      <w:r>
        <w:rPr>
          <w:rFonts w:hint="eastAsia"/>
        </w:rPr>
        <w:t>报告分发与使用</w:t>
      </w:r>
      <w:bookmarkEnd w:id="3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1" w:name="_Toc32505"/>
      <w:r>
        <w:rPr>
          <w:rFonts w:hint="eastAsia"/>
        </w:rPr>
        <w:t>分发管理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分发清单：建立报告分发矩阵，明确各报告的接收人和分发方式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保密管理：根据信息敏感度设定相应的保密级别和传播范围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反馈收集：建立报告反馈机制，持续改进报告质量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2" w:name="_Toc164"/>
      <w:r>
        <w:rPr>
          <w:rFonts w:hint="eastAsia"/>
        </w:rPr>
        <w:t>效果评估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使用情况跟踪：监控报告的使用情况和效果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价值评估：定期评估报告对决策支持的贡献度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持续优化：基于使用反馈持续优化报告内容和形式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3" w:name="_Toc23610"/>
      <w:r>
        <w:rPr>
          <w:rFonts w:hint="eastAsia"/>
        </w:rPr>
        <w:t>报告归档与知识管理</w:t>
      </w:r>
      <w:bookmarkEnd w:id="3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4" w:name="_Toc29351"/>
      <w:r>
        <w:rPr>
          <w:rFonts w:hint="eastAsia"/>
        </w:rPr>
        <w:t>归档管理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归档标准：明确归档范围、保存期限和存储要求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检索机制：建立便捷的报告检索和查阅机制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安全控制：实施适当的访问权限控制，确保信息安全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5" w:name="_Toc4868"/>
      <w:r>
        <w:rPr>
          <w:rFonts w:hint="eastAsia"/>
        </w:rPr>
        <w:t>知识转化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最佳实践：从报告分析中提炼最佳实践并推广应用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经验教训：将重大问题的经验教训纳入知识库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模式识别：通过历史报告识别服务管理的规律和模式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6" w:name="_Toc10604"/>
      <w:r>
        <w:rPr>
          <w:rFonts w:hint="eastAsia"/>
        </w:rPr>
        <w:t>关键控制点与测量指标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关键控制点：报告数据的准确性、报告编制的及时性、报告评审的规范性。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过程测量指标：服务报告提交及时率=(按时提交的服务报告数量 / 应提交的服务报告总数) × 100%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关键绩效指标表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服务报告提交及时率</w:t>
            </w:r>
          </w:p>
        </w:tc>
        <w:tc>
          <w:tcPr>
            <w:tcW w:w="342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按时提交的服务报告数量/应提交的服务报告总数)×100%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7" w:name="bookmark3"/>
      <w:bookmarkEnd w:id="37"/>
      <w:bookmarkStart w:id="38" w:name="_Toc17424"/>
      <w:bookmarkStart w:id="39" w:name="_Toc22635"/>
      <w:r>
        <w:rPr>
          <w:rStyle w:val="1Char"/>
          <w:rFonts w:eastAsia="宋体" w:hint="eastAsia"/>
          <w:lang w:val="en-US" w:eastAsia="zh-CN"/>
        </w:rPr>
        <w:t>附则</w:t>
      </w:r>
      <w:bookmarkEnd w:id="38"/>
      <w:bookmarkEnd w:id="39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bookmark14"/>
      <w:bookmarkEnd w:id="40"/>
      <w:bookmarkStart w:id="41" w:name="_Toc10943"/>
      <w:r>
        <w:rPr>
          <w:rFonts w:hint="eastAsia"/>
          <w:lang w:val="en-US" w:eastAsia="zh-CN"/>
        </w:rPr>
        <w:t>附件</w:t>
      </w:r>
      <w:bookmarkEnd w:id="4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13309"/>
      <w:r>
        <w:rPr>
          <w:rFonts w:hint="eastAsia"/>
          <w:lang w:val="en-US" w:eastAsia="zh-CN"/>
        </w:rPr>
        <w:t>记录</w:t>
      </w:r>
      <w:bookmarkEnd w:id="4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7990EF0"/>
    <w:multiLevelType w:val="singleLevel"/>
    <w:tmpl w:val="E7990EF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A3EEEB0"/>
    <w:multiLevelType w:val="singleLevel"/>
    <w:tmpl w:val="EA3EEE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3339532"/>
    <w:multiLevelType w:val="singleLevel"/>
    <w:tmpl w:val="3333953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2465</Words>
  <Characters>2728</Characters>
  <Application>Microsoft Office Word</Application>
  <DocSecurity>0</DocSecurity>
  <Lines>0</Lines>
  <Paragraphs>0</Paragraphs>
  <ScaleCrop>false</ScaleCrop>
  <Company/>
  <LinksUpToDate>false</LinksUpToDate>
  <CharactersWithSpaces>3057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