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431"/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2020"/>
      <w:r>
        <w:rPr>
          <w:rFonts w:hint="eastAsia"/>
          <w:lang w:val="en-US" w:eastAsia="zh-CN"/>
        </w:rPr>
        <w:t>发布管理制度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_Toc25431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发布管理制度</w:t>
          </w:r>
          <w:r>
            <w:tab/>
          </w:r>
          <w:r>
            <w:fldChar w:fldCharType="begin"/>
          </w:r>
          <w:r>
            <w:instrText xml:space="preserve"> PAGEREF _Toc2020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_Toc32542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_Toc7936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_Toc21012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_Toc21012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_Toc22109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_Toc22109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_Toc12264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_Toc29507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_Toc29507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_Toc28593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_Toc17303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_Toc22081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发布</w:t>
          </w:r>
          <w:r>
            <w:tab/>
          </w:r>
          <w:r>
            <w:fldChar w:fldCharType="begin"/>
          </w:r>
          <w:r>
            <w:instrText xml:space="preserve"> PAGEREF _Toc30049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发布计划</w:t>
          </w:r>
          <w:r>
            <w:tab/>
          </w:r>
          <w:r>
            <w:fldChar w:fldCharType="begin"/>
          </w:r>
          <w:r>
            <w:instrText xml:space="preserve"> PAGEREF _Toc19475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最终软件库</w:t>
          </w:r>
          <w:r>
            <w:tab/>
          </w:r>
          <w:r>
            <w:fldChar w:fldCharType="begin"/>
          </w:r>
          <w:r>
            <w:instrText xml:space="preserve"> PAGEREF _Toc16249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_Toc963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发布类型与界定</w:t>
          </w:r>
          <w:r>
            <w:tab/>
          </w:r>
          <w:r>
            <w:fldChar w:fldCharType="begin"/>
          </w:r>
          <w:r>
            <w:instrText xml:space="preserve"> PAGEREF _Toc3236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_Toc7472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发布管理全流程控制</w:t>
          </w:r>
          <w:r>
            <w:tab/>
          </w:r>
          <w:r>
            <w:fldChar w:fldCharType="begin"/>
          </w:r>
          <w:r>
            <w:instrText xml:space="preserve"> PAGEREF _Toc7472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_Toc9394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rPr>
              <w:rFonts w:hint="eastAsia"/>
            </w:rPr>
            <w:t>发布受理与评估</w:t>
          </w:r>
          <w:r>
            <w:tab/>
          </w:r>
          <w:r>
            <w:fldChar w:fldCharType="begin"/>
          </w:r>
          <w:r>
            <w:instrText xml:space="preserve"> PAGEREF _Toc9394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rPr>
              <w:rFonts w:hint="eastAsia"/>
            </w:rPr>
            <w:t>发布计划制定</w:t>
          </w:r>
          <w:r>
            <w:tab/>
          </w:r>
          <w:r>
            <w:fldChar w:fldCharType="begin"/>
          </w:r>
          <w:r>
            <w:instrText xml:space="preserve"> PAGEREF _Toc29362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发布实施与监控</w:t>
          </w:r>
          <w:r>
            <w:tab/>
          </w:r>
          <w:r>
            <w:fldChar w:fldCharType="begin"/>
          </w:r>
          <w:r>
            <w:instrText xml:space="preserve"> PAGEREF _Toc27470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4.3.1. </w:t>
          </w:r>
          <w:r>
            <w:rPr>
              <w:rFonts w:hint="eastAsia"/>
            </w:rPr>
            <w:t>预发布验证</w:t>
          </w:r>
          <w:r>
            <w:tab/>
          </w:r>
          <w:r>
            <w:fldChar w:fldCharType="begin"/>
          </w:r>
          <w:r>
            <w:instrText xml:space="preserve"> PAGEREF _Toc26899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4.3.2. </w:t>
          </w:r>
          <w:r>
            <w:rPr>
              <w:rFonts w:hint="eastAsia"/>
            </w:rPr>
            <w:t>发布执行监控</w:t>
          </w:r>
          <w:r>
            <w:tab/>
          </w:r>
          <w:r>
            <w:fldChar w:fldCharType="begin"/>
          </w:r>
          <w:r>
            <w:instrText xml:space="preserve"> PAGEREF _Toc19113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发布后管理</w:t>
          </w:r>
          <w:r>
            <w:tab/>
          </w:r>
          <w:r>
            <w:fldChar w:fldCharType="begin"/>
          </w:r>
          <w:r>
            <w:instrText xml:space="preserve"> PAGEREF _Toc8228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_Toc20522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4.4.1. </w:t>
          </w:r>
          <w:r>
            <w:rPr>
              <w:rFonts w:hint="eastAsia"/>
            </w:rPr>
            <w:t>效果验证</w:t>
          </w:r>
          <w:r>
            <w:tab/>
          </w:r>
          <w:r>
            <w:fldChar w:fldCharType="begin"/>
          </w:r>
          <w:r>
            <w:instrText xml:space="preserve"> PAGEREF _Toc20522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4.4.2. </w:t>
          </w:r>
          <w:r>
            <w:rPr>
              <w:rFonts w:hint="eastAsia"/>
            </w:rPr>
            <w:t>配置更新</w:t>
          </w:r>
          <w:r>
            <w:tab/>
          </w:r>
          <w:r>
            <w:fldChar w:fldCharType="begin"/>
          </w:r>
          <w:r>
            <w:instrText xml:space="preserve"> PAGEREF _Toc4390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_Toc29623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发布回退管理</w:t>
          </w:r>
          <w:r>
            <w:tab/>
          </w:r>
          <w:r>
            <w:fldChar w:fldCharType="begin"/>
          </w:r>
          <w:r>
            <w:instrText xml:space="preserve"> PAGEREF _Toc29623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_Toc20837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4.5.1. </w:t>
          </w:r>
          <w:r>
            <w:rPr>
              <w:rFonts w:hint="eastAsia"/>
            </w:rPr>
            <w:t>回退触发条件</w:t>
          </w:r>
          <w:r>
            <w:tab/>
          </w:r>
          <w:r>
            <w:fldChar w:fldCharType="begin"/>
          </w:r>
          <w:r>
            <w:instrText xml:space="preserve"> PAGEREF _Toc20837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4.5.2. </w:t>
          </w:r>
          <w:r>
            <w:rPr>
              <w:rFonts w:hint="eastAsia"/>
            </w:rPr>
            <w:t>回退执行流程</w:t>
          </w:r>
          <w:r>
            <w:tab/>
          </w:r>
          <w:r>
            <w:fldChar w:fldCharType="begin"/>
          </w:r>
          <w:r>
            <w:instrText xml:space="preserve"> PAGEREF _Toc1639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rPr>
              <w:rFonts w:hint="eastAsia"/>
            </w:rPr>
            <w:t>关键控制点与测量指标</w:t>
          </w:r>
          <w:r>
            <w:tab/>
          </w:r>
          <w:r>
            <w:fldChar w:fldCharType="begin"/>
          </w:r>
          <w:r>
            <w:instrText xml:space="preserve"> PAGEREF _Toc8880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_Toc27541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_Toc27541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_Toc2201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_Toc6054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_Toc6054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32542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7936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19"/>
          <w:szCs w:val="19"/>
          <w:shd w:val="clear" w:color="auto" w:fill="FFFFFF"/>
        </w:rPr>
        <w:t>为规范天津图云智能科技有限公司运维服务的发布管理活动，确保所有发布至生产环境的变更或新服务是可追溯、安全且受控的，保障只有经过正确测试与审批的版本才能被部署，并确保配置管理数据库（CMDB）的准确性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1012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19"/>
          <w:szCs w:val="19"/>
          <w:shd w:val="clear" w:color="auto" w:fill="FFFFFF"/>
        </w:rPr>
        <w:t>本制度适用于公司运维部及其它相关职能部门，对所有正式运行的系统及在实施运维服务项目中的软件、硬件、文档及服务的发布活动进行管理。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2109"/>
      <w:r>
        <w:rPr>
          <w:rFonts w:hint="eastAsia"/>
          <w:lang w:val="en-US" w:eastAsia="zh-CN"/>
        </w:rPr>
        <w:t>原则</w:t>
      </w:r>
      <w:bookmarkEnd w:id="6"/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计划性原则：所有发布必须经过规划和审批，禁止未经计划的部署。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</w:rPr>
        <w:t>可靠性原则：发布必须经过充分测试，确保其安全、可靠，并具备可行的回退方案。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</w:rPr>
        <w:t>追溯性原则：发布的全部过程及最终版本必须被完整记录，确保可追溯。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</w:rPr>
        <w:t>协同性原则：发布管理需与变更管理、配置管理等流程紧密协作，统一部署。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2264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29507"/>
      <w:r>
        <w:rPr>
          <w:rFonts w:hint="eastAsia"/>
          <w:lang w:val="en-US" w:eastAsia="zh-CN"/>
        </w:rPr>
        <w:t>运维部经理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负责发布管理流程的整体管理、协调与改进。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受理发布请求，组织制定与评审发布计划。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作为变更管理委员会成员，参与变更评审。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组织发布实施，并负责发布的最终关闭与报告。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28593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根据发布结果，及时、准确地更新配置管理数据库（CMDB）。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跟踪发布全过程，确保流程合规，直至发布关闭。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协助验证发布计划的完整性与稳定性。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依据已批准的发布计划，具体执行发布部署操作。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发布失败时，严格执行回退计划。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向发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反馈发布实施情况。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17303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22081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30049"/>
      <w:r>
        <w:rPr>
          <w:rFonts w:hint="eastAsia"/>
        </w:rPr>
        <w:t>发布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将一项新的、或有变更的服务或服务组件，经过测试后正式引入生产环境的全过程。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19475"/>
      <w:r>
        <w:rPr>
          <w:rFonts w:hint="eastAsia"/>
        </w:rPr>
        <w:t>发布计划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为成功实施发布而制定的详细方案，包括时间安排、资源分配、步骤及回退措施等。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16249"/>
      <w:r>
        <w:rPr>
          <w:rFonts w:hint="eastAsia"/>
        </w:rPr>
        <w:t>最终软件库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用于安全存储和维护所有经批准的软件版本正本的受控存储区。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963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236"/>
      <w:r>
        <w:rPr>
          <w:rFonts w:hint="default"/>
          <w:lang w:val="en-US" w:eastAsia="zh-CN"/>
        </w:rPr>
        <w:t>发布类型与界定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所有发布请求必须根据其业务影响、风险与紧急程度，按以下标准进行分类，并执行相应管理策略</w:t>
      </w:r>
      <w:r>
        <w:rPr>
          <w:rFonts w:hint="eastAsia"/>
          <w:lang w:val="en-US" w:eastAsia="zh-CN"/>
        </w:rPr>
        <w:t>，如图表4-1所示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 STYLEREF "柴_标题1" \n \* Charformat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发布类型对照表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发布类型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界定标准与风险特征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审批与管理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紧急发布</w:t>
            </w:r>
          </w:p>
        </w:tc>
        <w:tc>
          <w:tcPr>
            <w:tcW w:w="2841" w:type="dxa"/>
            <w:shd w:val="clear" w:color="auto" w:fill="auto"/>
          </w:tcPr>
          <w:tbl>
            <w:tblPr>
              <w:tblStyle w:val="TableNormal"/>
              <w:tblW w:w="0" w:type="auto"/>
              <w:tblInd w:w="-19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625"/>
            </w:tblGrid>
            <w:tr>
              <w:tblPrEx>
                <w:tblW w:w="0" w:type="auto"/>
                <w:tblInd w:w="-192" w:type="dxa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>
                  <w:pPr>
                    <w:pStyle w:val="a1"/>
                    <w:keepNext w:val="0"/>
                    <w:keepLines w:val="0"/>
                    <w:pageBreakBefore w:val="0"/>
                    <w:widowControl w:val="0"/>
                    <w:kinsoku w:val="0"/>
                    <w:wordWrap/>
                    <w:overflowPunct/>
                    <w:autoSpaceDE w:val="0"/>
                    <w:autoSpaceDN w:val="0"/>
                    <w:bidi w:val="0"/>
                    <w:adjustRightInd w:val="0"/>
                    <w:snapToGrid w:val="0"/>
                    <w:ind w:left="0" w:right="0" w:firstLine="0" w:leftChars="0" w:rightChars="0" w:firstLineChars="0"/>
                    <w:jc w:val="center"/>
                    <w:textAlignment w:val="baseline"/>
                    <w:rPr>
                      <w:rFonts w:ascii="Segoe UI" w:eastAsia="Segoe UI" w:hAnsi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必须立即实施，否则将严重影响核心业务运行及SLA达成。风险极高，时间紧迫。</w:t>
                  </w:r>
                </w:p>
              </w:tc>
            </w:tr>
          </w:tbl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right="0" w:right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重大发布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影响范围广，涉及系统核心功能，回退困难或需应用新技术，对业务有重大影响。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一般发布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影响范围小，不涉及核心功能，回退容易，实施简单，对业务影响有限。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7472"/>
      <w:r>
        <w:rPr>
          <w:rFonts w:hint="eastAsia"/>
        </w:rPr>
        <w:t>发布管理全流程控制</w:t>
      </w:r>
      <w:bookmarkEnd w:id="1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8" w:name="_Toc9394"/>
      <w:r>
        <w:rPr>
          <w:rFonts w:hint="eastAsia"/>
        </w:rPr>
        <w:t>发布受理与评估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建立标准化的发布受理机制：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受理条件：仅接受经变更管理流程正式批准的发布请求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关联性评估：分析多个变更之间的依赖关系，确定合并发布方案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资源评估：评估实施所需的技术资源、人力资源和时间资源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风险评估：识别发布过程中的技术风险、业务风险和管理风险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9" w:name="_Toc29362"/>
      <w:r>
        <w:rPr>
          <w:rFonts w:hint="eastAsia"/>
        </w:rPr>
        <w:t>发布计划制定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制定详细的发布计划，包含以下核心内容：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发布管理必须遵循以下标准化流程，确保发布活动的有序与可控：</w:t>
      </w:r>
      <w:r>
        <w:rPr>
          <w:rFonts w:hint="eastAsia"/>
          <w:lang w:val="en-US" w:eastAsia="zh-CN"/>
        </w:rPr>
        <w:t>如表4-2所示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 STYLEREF "柴_标题1" \n \* Charformat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发布管理流程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发布阶段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核心活动与要求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责任人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发布受理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运维工程师依据经批准的变更计划受理发布请求，并评估多个变更的关联性，决定是否合并发布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。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制定发布计划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制定详细的《发布计划》，内容须涵盖发布目的、影响范围、参与方职责、风险应对措施、配置基线及部署后工作计划。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组织实施发布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运维工程师总体协调，发布实施人员严格依据已批准的发布计划执行部署操作。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更新配置信息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发布成功实施后，配置管理员须依据实际发布结果，及时、准确地更新配置管理数据库（CMDB）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发布关闭</w:t>
            </w:r>
          </w:p>
        </w:tc>
        <w:tc>
          <w:tcPr>
            <w:tcW w:w="2841" w:type="dxa"/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运维部经理负责整理所有过程文档并归档，编写《发布变更报告》，对成功与失败的发布进行分析，最终正式关闭发布。</w:t>
            </w:r>
          </w:p>
        </w:tc>
        <w:tc>
          <w:tcPr>
            <w:tcW w:w="2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</w:t>
            </w:r>
          </w:p>
        </w:tc>
      </w:tr>
    </w:tbl>
    <w:p>
      <w:pPr>
        <w:pStyle w:val="Heading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0" w:name="_Toc27470"/>
      <w:bookmarkStart w:id="21" w:name="_Toc14508"/>
      <w:r>
        <w:rPr>
          <w:rFonts w:hint="eastAsia"/>
        </w:rPr>
        <w:t>发布实施与监控</w:t>
      </w:r>
      <w:bookmarkEnd w:id="2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2" w:name="_Toc26899"/>
      <w:r>
        <w:rPr>
          <w:rFonts w:hint="eastAsia"/>
        </w:rPr>
        <w:t>预发布验证</w:t>
      </w:r>
      <w:bookmarkEnd w:id="22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环境检查：验证目标环境与发布要求的符合性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备份验证：确认系统备份和数据备份的完整性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回退测试：在测试环境验证回退方案的可行性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应急预案：制定异常情况应急处置流程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3" w:name="_Toc19113"/>
      <w:r>
        <w:rPr>
          <w:rFonts w:hint="eastAsia"/>
        </w:rPr>
        <w:t>发布执行监控</w:t>
      </w:r>
      <w:bookmarkEnd w:id="23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建立发布过程实时监控机制：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进度监控：跟踪发布各阶段完成情况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性能监控：监控系统关键性能指标变化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日志监控：实时分析系统日志，及时发现异常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用户反馈：收集用户端的使用反馈</w:t>
      </w:r>
    </w:p>
    <w:p>
      <w:pPr>
        <w:pStyle w:val="Heading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4" w:name="_Toc8228"/>
      <w:r>
        <w:rPr>
          <w:rFonts w:hint="eastAsia"/>
        </w:rPr>
        <w:t>发布后管理</w:t>
      </w:r>
      <w:bookmarkEnd w:id="24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5" w:name="_Toc20522"/>
      <w:r>
        <w:rPr>
          <w:rFonts w:hint="eastAsia"/>
        </w:rPr>
        <w:t>效果验证</w:t>
      </w:r>
      <w:bookmarkEnd w:id="25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功能验证：验证发布功能的完整性和正确性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性能验证：确认系统性能指标符合预期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业务验证：验证业务流程的正常运行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用户验收：获得业务部门的正式确认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6" w:name="_Toc4390"/>
      <w:r>
        <w:rPr>
          <w:rFonts w:hint="eastAsia"/>
        </w:rPr>
        <w:t>配置更新</w:t>
      </w:r>
      <w:bookmarkEnd w:id="26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CMDB更新：在发布成功后24小时内完成配置项信息更新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文档归档：整理发布过程文档并归档保存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知识更新：将发布经验更新至知识库</w:t>
      </w:r>
    </w:p>
    <w:p>
      <w:pPr>
        <w:pStyle w:val="Heading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7" w:name="_Toc29623"/>
      <w:r>
        <w:rPr>
          <w:rFonts w:hint="eastAsia"/>
        </w:rPr>
        <w:t>发布回退管理</w:t>
      </w:r>
      <w:bookmarkEnd w:id="2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8" w:name="_Toc20837"/>
      <w:r>
        <w:rPr>
          <w:rFonts w:hint="eastAsia"/>
        </w:rPr>
        <w:t>回退触发条件</w:t>
      </w:r>
      <w:bookmarkEnd w:id="28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明确发布回退的触发条件：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关键功能无法正常使用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系统性能严重下降超出阈值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出现数据不一致或丢失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用户投诉集中且影响业务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9" w:name="_Toc1639"/>
      <w:r>
        <w:rPr>
          <w:rFonts w:hint="eastAsia"/>
        </w:rPr>
        <w:t>回退执行流程</w:t>
      </w:r>
      <w:bookmarkEnd w:id="29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立即决策：发现严重问题时30分钟内做出回退决策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有序执行：按照预定回退方案顺序执行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状态恢复：确保系统完全恢复到发布前状态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问题记录：详细记录回退原因和过程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0" w:name="_Toc8880"/>
      <w:r>
        <w:rPr>
          <w:rFonts w:hint="eastAsia"/>
        </w:rPr>
        <w:t>关键控制点与测量指标</w:t>
      </w:r>
      <w:bookmarkEnd w:id="21"/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705"/>
        <w:gridCol w:w="3771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77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jc w:val="left"/>
              <w:textAlignment w:val="baseline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发布成功率</w:t>
            </w:r>
          </w:p>
        </w:tc>
        <w:tc>
          <w:tcPr>
            <w:tcW w:w="377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jc w:val="left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(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发布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 xml:space="preserve">成功次数 / 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发布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总次数) × 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1" w:name="bookmark3"/>
      <w:bookmarkEnd w:id="31"/>
      <w:bookmarkStart w:id="32" w:name="_Toc27541"/>
      <w:bookmarkStart w:id="33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32"/>
      <w:bookmarkEnd w:id="33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bookmark14"/>
      <w:bookmarkEnd w:id="34"/>
      <w:bookmarkStart w:id="35" w:name="_Toc2201"/>
      <w:r>
        <w:rPr>
          <w:rFonts w:hint="eastAsia"/>
          <w:lang w:val="en-US" w:eastAsia="zh-CN"/>
        </w:rPr>
        <w:t>附件</w:t>
      </w:r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6" w:name="_Toc6054"/>
      <w:r>
        <w:rPr>
          <w:rFonts w:hint="eastAsia"/>
          <w:lang w:val="en-US" w:eastAsia="zh-CN"/>
        </w:rPr>
        <w:t>记录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FF3B22F"/>
    <w:multiLevelType w:val="singleLevel"/>
    <w:tmpl w:val="1FF3B2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1A2914F"/>
    <w:multiLevelType w:val="singleLevel"/>
    <w:tmpl w:val="61A2914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2332</Words>
  <Characters>2572</Characters>
  <Application>Microsoft Office Word</Application>
  <DocSecurity>0</DocSecurity>
  <Lines>0</Lines>
  <Paragraphs>0</Paragraphs>
  <ScaleCrop>false</ScaleCrop>
  <Company/>
  <LinksUpToDate>false</LinksUpToDate>
  <CharactersWithSpaces>2717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