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0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2304"/>
      <w:r>
        <w:rPr>
          <w:rFonts w:hint="eastAsia"/>
          <w:lang w:val="en-US" w:eastAsia="zh-CN"/>
        </w:rPr>
        <w:t>服务可用性和连续性管理制度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_Toc407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服务可用性和连续性管理制度</w:t>
          </w:r>
          <w:r>
            <w:tab/>
          </w:r>
          <w:r>
            <w:fldChar w:fldCharType="begin"/>
          </w:r>
          <w:r>
            <w:instrText xml:space="preserve"> PAGEREF _Toc32304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_Toc12773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_Toc27449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_Toc3864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_Toc3161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_Toc4268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_Toc11105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运维部</w:t>
          </w:r>
          <w:r>
            <w:tab/>
          </w:r>
          <w:r>
            <w:fldChar w:fldCharType="begin"/>
          </w:r>
          <w:r>
            <w:instrText xml:space="preserve"> PAGEREF _Toc20585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技术中心</w:t>
          </w:r>
          <w:r>
            <w:tab/>
          </w:r>
          <w:r>
            <w:fldChar w:fldCharType="begin"/>
          </w:r>
          <w:r>
            <w:instrText xml:space="preserve"> PAGEREF _Toc32074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综合管理部</w:t>
          </w:r>
          <w:r>
            <w:tab/>
          </w:r>
          <w:r>
            <w:fldChar w:fldCharType="begin"/>
          </w:r>
          <w:r>
            <w:instrText xml:space="preserve"> PAGEREF _Toc28782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_Toc20112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服务可用性</w:t>
          </w:r>
          <w:r>
            <w:tab/>
          </w:r>
          <w:r>
            <w:fldChar w:fldCharType="begin"/>
          </w:r>
          <w:r>
            <w:instrText xml:space="preserve"> PAGEREF _Toc30657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服务连续性</w:t>
          </w:r>
          <w:r>
            <w:tab/>
          </w:r>
          <w:r>
            <w:fldChar w:fldCharType="begin"/>
          </w:r>
          <w:r>
            <w:instrText xml:space="preserve"> PAGEREF _Toc22405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业务影响分析（BIA）</w:t>
          </w:r>
          <w:r>
            <w:tab/>
          </w:r>
          <w:r>
            <w:fldChar w:fldCharType="begin"/>
          </w:r>
          <w:r>
            <w:instrText xml:space="preserve"> PAGEREF _Toc10273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恢复时间目标（RTO）</w:t>
          </w:r>
          <w:r>
            <w:tab/>
          </w:r>
          <w:r>
            <w:fldChar w:fldCharType="begin"/>
          </w:r>
          <w:r>
            <w:instrText xml:space="preserve"> PAGEREF _Toc8388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恢复点目标（RPO）</w:t>
          </w:r>
          <w:r>
            <w:tab/>
          </w:r>
          <w:r>
            <w:fldChar w:fldCharType="begin"/>
          </w:r>
          <w:r>
            <w:instrText xml:space="preserve"> PAGEREF _Toc2282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3.6. </w:t>
          </w:r>
          <w:r>
            <w:rPr>
              <w:rFonts w:hint="eastAsia"/>
            </w:rPr>
            <w:t>平均无故障时间（MTBF）</w:t>
          </w:r>
          <w:r>
            <w:tab/>
          </w:r>
          <w:r>
            <w:fldChar w:fldCharType="begin"/>
          </w:r>
          <w:r>
            <w:instrText xml:space="preserve"> PAGEREF _Toc26106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3.7. </w:t>
          </w:r>
          <w:r>
            <w:rPr>
              <w:rFonts w:hint="eastAsia"/>
            </w:rPr>
            <w:t>平均修复时间（MTTR）</w:t>
          </w:r>
          <w:r>
            <w:tab/>
          </w:r>
          <w:r>
            <w:fldChar w:fldCharType="begin"/>
          </w:r>
          <w:r>
            <w:instrText xml:space="preserve"> PAGEREF _Toc11058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_Toc12159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服务可用性管理</w:t>
          </w:r>
          <w:r>
            <w:tab/>
          </w:r>
          <w:r>
            <w:fldChar w:fldCharType="begin"/>
          </w:r>
          <w:r>
            <w:instrText xml:space="preserve"> PAGEREF _Toc11045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可用性目标管理</w:t>
          </w:r>
          <w:r>
            <w:tab/>
          </w:r>
          <w:r>
            <w:fldChar w:fldCharType="begin"/>
          </w:r>
          <w:r>
            <w:instrText xml:space="preserve"> PAGEREF _Toc20797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系统框架管理</w:t>
          </w:r>
          <w:r>
            <w:tab/>
          </w:r>
          <w:r>
            <w:fldChar w:fldCharType="begin"/>
          </w:r>
          <w:r>
            <w:instrText xml:space="preserve"> PAGEREF _Toc15306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监控与数据收集</w:t>
          </w:r>
          <w:r>
            <w:tab/>
          </w:r>
          <w:r>
            <w:fldChar w:fldCharType="begin"/>
          </w:r>
          <w:r>
            <w:instrText xml:space="preserve"> PAGEREF _Toc11734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4.1.4. 可用性分析与改进</w:t>
          </w:r>
          <w:r>
            <w:tab/>
          </w:r>
          <w:r>
            <w:fldChar w:fldCharType="begin"/>
          </w:r>
          <w:r>
            <w:instrText xml:space="preserve"> PAGEREF _Toc10762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服务连续性管理</w:t>
          </w:r>
          <w:r>
            <w:tab/>
          </w:r>
          <w:r>
            <w:fldChar w:fldCharType="begin"/>
          </w:r>
          <w:r>
            <w:instrText xml:space="preserve"> PAGEREF _Toc18457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业务影响分析（BIA）</w:t>
          </w:r>
          <w:r>
            <w:tab/>
          </w:r>
          <w:r>
            <w:fldChar w:fldCharType="begin"/>
          </w:r>
          <w:r>
            <w:instrText xml:space="preserve"> PAGEREF _Toc22744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连续性策略制定</w:t>
          </w:r>
          <w:r>
            <w:tab/>
          </w:r>
          <w:r>
            <w:fldChar w:fldCharType="begin"/>
          </w:r>
          <w:r>
            <w:instrText xml:space="preserve"> PAGEREF _Toc15622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连续性计划开发</w:t>
          </w:r>
          <w:r>
            <w:tab/>
          </w:r>
          <w:r>
            <w:fldChar w:fldCharType="begin"/>
          </w:r>
          <w:r>
            <w:instrText xml:space="preserve"> PAGEREF _Toc1962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4.2.4. 演练与测试</w:t>
          </w:r>
          <w:r>
            <w:tab/>
          </w:r>
          <w:r>
            <w:fldChar w:fldCharType="begin"/>
          </w:r>
          <w:r>
            <w:instrText xml:space="preserve"> PAGEREF _Toc21222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4.2.5. 计划维护与更新</w:t>
          </w:r>
          <w:r>
            <w:tab/>
          </w:r>
          <w:r>
            <w:fldChar w:fldCharType="begin"/>
          </w:r>
          <w:r>
            <w:instrText xml:space="preserve"> PAGEREF _Toc32163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培训与意识培养</w:t>
          </w:r>
          <w:r>
            <w:tab/>
          </w:r>
          <w:r>
            <w:fldChar w:fldCharType="begin"/>
          </w:r>
          <w:r>
            <w:instrText xml:space="preserve"> PAGEREF _Toc28239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定期培训</w:t>
          </w:r>
          <w:r>
            <w:tab/>
          </w:r>
          <w:r>
            <w:fldChar w:fldCharType="begin"/>
          </w:r>
          <w:r>
            <w:instrText xml:space="preserve"> PAGEREF _Toc18200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意识培养</w:t>
          </w:r>
          <w:r>
            <w:tab/>
          </w:r>
          <w:r>
            <w:fldChar w:fldCharType="begin"/>
          </w:r>
          <w:r>
            <w:instrText xml:space="preserve"> PAGEREF _Toc1025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关键控制点与测量指标</w:t>
          </w:r>
          <w:r>
            <w:tab/>
          </w:r>
          <w:r>
            <w:fldChar w:fldCharType="begin"/>
          </w:r>
          <w:r>
            <w:instrText xml:space="preserve"> PAGEREF _Toc24679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关键控制点</w:t>
          </w:r>
          <w:r>
            <w:tab/>
          </w:r>
          <w:r>
            <w:fldChar w:fldCharType="begin"/>
          </w:r>
          <w:r>
            <w:instrText xml:space="preserve"> PAGEREF _Toc5893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指标监控与改进</w:t>
          </w:r>
          <w:r>
            <w:tab/>
          </w:r>
          <w:r>
            <w:fldChar w:fldCharType="begin"/>
          </w:r>
          <w:r>
            <w:instrText xml:space="preserve"> PAGEREF _Toc16425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4.4.3. </w:t>
          </w:r>
          <w:r>
            <w:rPr>
              <w:rFonts w:hint="eastAsia"/>
              <w:lang w:val="en-US" w:eastAsia="zh-CN"/>
            </w:rPr>
            <w:t>过程测量指标</w:t>
          </w:r>
          <w:r>
            <w:tab/>
          </w:r>
          <w:r>
            <w:fldChar w:fldCharType="begin"/>
          </w:r>
          <w:r>
            <w:instrText xml:space="preserve"> PAGEREF _Toc3193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_Toc10980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_Toc24695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2773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7449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天津图云智能科技有限公司运维服务的可用性与连续性管理，确保关键业务服务在约定水平下持续、稳定运行，并在中断事件后能迅速有效地恢复，以保障客户业务运营，履行服务级别协议（SLA）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3864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本制度适用于公司运维部、技术中心及所有参与关键运维服务交付的部门，管理对象为纳入ITSS服务目录的所有关键业务服务及其相关的信息系统与基础设施。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3161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业务导向原则：可用性与连续性管理活动必须基于业务需求和对业务影响的分析。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预防与恢复并重原则：在主动预防服务中断的同时，必须具备有效恢复服务的能力。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持续改进原则：定期评审和测试，确保管理策略与计划持续有效并不断优化。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成本效益平衡原则：控制措施的选择应与服务中断可能造成的业务损失相平衡。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4268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1105"/>
      <w:r>
        <w:rPr>
          <w:rFonts w:hint="eastAsia"/>
          <w:lang w:val="en-US" w:eastAsia="zh-CN"/>
        </w:rPr>
        <w:t>运维部经理</w:t>
      </w:r>
      <w:bookmarkEnd w:id="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负责本制度的制定、推行、监督与持续改进。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领导业务影响分析（BIA），组织制定和维护《服务连续性计划》。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协调资源，确保可用性监控与连续性演练的有效执行。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0585"/>
      <w:r>
        <w:rPr>
          <w:rFonts w:hint="default"/>
          <w:lang w:val="en-US" w:eastAsia="zh-CN"/>
        </w:rPr>
        <w:t>运维部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负责日常服务可用性监控、数据收集与报告。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执行可用性改进措施和连续性恢复操作。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维护关键服务的冗余架构和备份系统。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2074"/>
      <w:r>
        <w:rPr>
          <w:rFonts w:hint="default"/>
          <w:lang w:val="en-US" w:eastAsia="zh-CN"/>
        </w:rPr>
        <w:t>技术中心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在系统设计与变更中考虑并实现可用性与可恢复性需求。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协助分析系统架构弱点，参与连续性计划的制定。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8782"/>
      <w:r>
        <w:rPr>
          <w:rFonts w:hint="default"/>
          <w:lang w:val="en-US" w:eastAsia="zh-CN"/>
        </w:rPr>
        <w:t>综合管理部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确保关键岗位人员的可用性，并协助组织连续性相关的培训与意识教育。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150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20112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30657"/>
      <w:r>
        <w:rPr>
          <w:rFonts w:hint="eastAsia"/>
        </w:rPr>
        <w:t>服务可用性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指一项服务在约定的服务时间内，可供正常使用的比例，通常以百分比表示。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2405"/>
      <w:r>
        <w:rPr>
          <w:rFonts w:hint="eastAsia"/>
        </w:rPr>
        <w:t>服务连续性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指在发生重大服务中断或灾难时，组织保持关键业务服务持续运作或快速恢复的能力。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0273"/>
      <w:r>
        <w:rPr>
          <w:rFonts w:hint="eastAsia"/>
        </w:rPr>
        <w:t>业务影响分析（BIA）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识别关键业务服务、评估中断影响及确定恢复优先级和目标的过程。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8388"/>
      <w:r>
        <w:rPr>
          <w:rFonts w:hint="eastAsia"/>
        </w:rPr>
        <w:t>恢复时间目标（RTO）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服务中断后，可容许的最长恢复时间。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2282"/>
      <w:r>
        <w:rPr>
          <w:rFonts w:hint="eastAsia"/>
        </w:rPr>
        <w:t>恢复点目标（RPO）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服务中断后，可容许的最大数据丢失量。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26106"/>
      <w:r>
        <w:rPr>
          <w:rFonts w:hint="eastAsia"/>
        </w:rPr>
        <w:t>平均无故障时间（MTBF）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系统或组件在两次故障之间正常工作的平均时间。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11058"/>
      <w:r>
        <w:rPr>
          <w:rFonts w:hint="eastAsia"/>
        </w:rPr>
        <w:t>平均修复时间（MTTR）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从故障发生到服务恢复所需的平均时间。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2159"/>
      <w:r>
        <w:rPr>
          <w:rFonts w:hint="eastAsia"/>
          <w:lang w:val="en-US" w:eastAsia="zh-CN"/>
        </w:rPr>
        <w:t>管理内容与要求</w:t>
      </w:r>
      <w:bookmarkEnd w:id="2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1045"/>
      <w:r>
        <w:rPr>
          <w:rFonts w:hint="eastAsia"/>
          <w:lang w:val="en-US" w:eastAsia="zh-CN"/>
        </w:rPr>
        <w:t>服务可用性管理</w:t>
      </w:r>
      <w:bookmarkEnd w:id="2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0797"/>
      <w:r>
        <w:rPr>
          <w:rFonts w:hint="default"/>
          <w:lang w:val="en-US" w:eastAsia="zh-CN"/>
        </w:rPr>
        <w:t>可用性目标管理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基于服务级别协议（SLA）和业务需求，为每项关键服务制定明确的可用性目标，通常以百分比形式表示（如99.9%、99.99%）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可用性目标应包含相关的时间基准（如月度、季度）和计算方式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建立可用性目标的审批和变更流程，任何调整需经</w:t>
      </w:r>
      <w:r>
        <w:rPr>
          <w:rFonts w:hint="eastAsia"/>
          <w:lang w:val="en-US" w:eastAsia="zh-CN"/>
        </w:rPr>
        <w:t>运维部经理审批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5306"/>
      <w:r>
        <w:rPr>
          <w:rFonts w:hint="default"/>
          <w:lang w:val="en-US" w:eastAsia="zh-CN"/>
        </w:rPr>
        <w:t>系统框架管理</w:t>
      </w:r>
      <w:bookmarkEnd w:id="2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识别支撑关键业务服务的所有配置项，包括硬件、软件、网络设备等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建立系统框架文档，明确各配置项之间的依赖关系和影响范围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定期（至少每季度）更新系统框架，确保其与实际环境保持一致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识别系统中的单点故障，制定相应的冗余或备份方案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1734"/>
      <w:r>
        <w:rPr>
          <w:rFonts w:hint="default"/>
          <w:lang w:val="en-US" w:eastAsia="zh-CN"/>
        </w:rPr>
        <w:t>监控与数据收集</w:t>
      </w:r>
      <w:bookmarkEnd w:id="2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建立7×24小时监控机制，覆盖所有关键服务及相关配置项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监控指标应包括但不限于：服务响应时间、吞吐量、错误率、资源利用率等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确保监控数据的准确性和完整性，建立数据质量控制机制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监控数据应保存至少13个月，以支持趋势分析和容量规划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0762"/>
      <w:r>
        <w:rPr>
          <w:rFonts w:hint="default"/>
          <w:lang w:val="en-US" w:eastAsia="zh-CN"/>
        </w:rPr>
        <w:t>可用性分析与改进</w:t>
      </w:r>
      <w:bookmarkEnd w:id="2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每月编制《服务可用性分析报告》，内容包括：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各项服务的实际可用性数据与目标对比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服务中断事件的统计和分析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趋势分析和预测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对未达到可用性目标的服务进行根本原因分析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制定并跟踪改进措施的实施，确保问题得到有效解决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8457"/>
      <w:r>
        <w:rPr>
          <w:rFonts w:hint="default"/>
          <w:lang w:val="en-US" w:eastAsia="zh-CN"/>
        </w:rPr>
        <w:t>服务连续性管理</w:t>
      </w:r>
      <w:bookmarkEnd w:id="2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2744"/>
      <w:r>
        <w:rPr>
          <w:rFonts w:hint="default"/>
          <w:lang w:val="en-US" w:eastAsia="zh-CN"/>
        </w:rPr>
        <w:t>业务影响分析（BIA）</w:t>
      </w:r>
      <w:bookmarkEnd w:id="2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每年至少进行一次全面的业务影响分析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BIA应涵盖以下内容：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识别关键业务服务及其优先级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评估服务中断对业务的财务和非财务影响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确定各项服务的恢复时间目标（RTO）和恢复点目标（RPO）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识别关键依赖资源（人员、技术、设施等）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BIA结果需经相关部门确认，并作为连续性计划的基础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5622"/>
      <w:r>
        <w:rPr>
          <w:rFonts w:hint="default"/>
          <w:lang w:val="en-US" w:eastAsia="zh-CN"/>
        </w:rPr>
        <w:t>连续性策略制定</w:t>
      </w:r>
      <w:bookmarkEnd w:id="2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基于BIA结果，制定相应的风险缓解措施，包括：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预防性措施：防止中断发生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减轻性措施：降低中断影响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恢复性措施：确保服务快速恢复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连续性策略应综合考虑成本效益，确保投入与业务影响相匹配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策略需明确备份方案、备用站点、应急资源等关键要素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962"/>
      <w:r>
        <w:rPr>
          <w:rFonts w:hint="default"/>
          <w:lang w:val="en-US" w:eastAsia="zh-CN"/>
        </w:rPr>
        <w:t>连续性计划开发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编制详细的《服务连续性计划》，内容包括：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应急响应流程和通信计划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恢复流程和操作步骤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人员职责和授权矩阵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所需资源和设备清单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外部依赖和供应商联系信息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计划应具有可操作性，确保在紧急情况下能够有效执行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建立计划的版本控制和分发机制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1222"/>
      <w:r>
        <w:rPr>
          <w:rFonts w:hint="default"/>
          <w:lang w:val="en-US" w:eastAsia="zh-CN"/>
        </w:rPr>
        <w:t>演练与测试</w:t>
      </w:r>
      <w:bookmarkEnd w:id="3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制定年度连续性演练计划，覆盖所有关键业务服务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演练形式应包括：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桌面推演：每季度至少一次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模拟演练：每半年至少一次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全面演练：每年至少一次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演练后需编制《连续性演练报告》，内容包括：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演练过程和结果记录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发现的问题和改进建议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计划修订需求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演练结果应向管理层汇报，并获得改进措施的批准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32163"/>
      <w:r>
        <w:rPr>
          <w:rFonts w:hint="default"/>
          <w:lang w:val="en-US" w:eastAsia="zh-CN"/>
        </w:rPr>
        <w:t>计划维护与更新</w:t>
      </w:r>
      <w:bookmarkEnd w:id="3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在以下情况下必须对连续性计划进行评审和更新：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业务环境发生重大变化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组织结构或人员职责调整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技术架构或系统重大变更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演练或实际事件中发现计划缺陷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每年定期评审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建立计划变更的控制流程，确保所有修订都经过适当审批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28239"/>
      <w:r>
        <w:rPr>
          <w:rFonts w:hint="default"/>
          <w:lang w:val="en-US" w:eastAsia="zh-CN"/>
        </w:rPr>
        <w:t>培训与意识培养</w:t>
      </w:r>
      <w:bookmarkEnd w:id="3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8200"/>
      <w:r>
        <w:rPr>
          <w:rFonts w:hint="default"/>
          <w:lang w:val="en-US" w:eastAsia="zh-CN"/>
        </w:rPr>
        <w:t>定期培训</w:t>
      </w:r>
      <w:bookmarkEnd w:id="3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每半年至少组织一次服务可用性与连续性管理培训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培训对象应覆盖所有相关岗位人员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培训内容应包括：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服务可用性与连续性的基本概念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相关流程和操作规程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应急预案和处置流程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案例分析和经验分享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1025"/>
      <w:r>
        <w:rPr>
          <w:rFonts w:hint="default"/>
          <w:lang w:val="en-US" w:eastAsia="zh-CN"/>
        </w:rPr>
        <w:t>意识培养</w:t>
      </w:r>
      <w:bookmarkEnd w:id="3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通过内部通讯、</w:t>
      </w:r>
      <w:bookmarkStart w:id="35" w:name="_GoBack"/>
      <w:bookmarkEnd w:id="35"/>
      <w:r>
        <w:rPr>
          <w:rFonts w:hint="default"/>
          <w:lang w:val="en-US" w:eastAsia="zh-CN"/>
        </w:rPr>
        <w:t>宣传栏等多种形式，提高全员的服务可用性与连续性意识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定期组织经验交流活动，分享最佳实践和教训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将服务可用性与连续性要求纳入员工绩效考核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24679"/>
      <w:r>
        <w:rPr>
          <w:rFonts w:hint="default"/>
          <w:lang w:val="en-US" w:eastAsia="zh-CN"/>
        </w:rPr>
        <w:t>关键控制点与测量指标</w:t>
      </w:r>
      <w:bookmarkEnd w:id="3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5893"/>
      <w:r>
        <w:rPr>
          <w:rFonts w:hint="default"/>
          <w:lang w:val="en-US" w:eastAsia="zh-CN"/>
        </w:rPr>
        <w:t>关键控制点</w:t>
      </w:r>
      <w:bookmarkEnd w:id="3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所有关键业务服务必须建立明确的可用性目标，并定期监控和报告达成情况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业务影响分析（BIA）必须定期执行，结果需经相关业务部门确认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服务连续性计划必须定期演练，演练结果必须用于计划的持续改进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所有重大变更必须进行可用性与连续性影响评估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连续性计划的维护更新必须建立规范的变更控制流程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8" w:name="_Toc16425"/>
      <w:r>
        <w:rPr>
          <w:rFonts w:hint="default"/>
          <w:lang w:val="en-US" w:eastAsia="zh-CN"/>
        </w:rPr>
        <w:t>指标监控与改进</w:t>
      </w:r>
      <w:bookmarkEnd w:id="3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每月对指标数据进行统计分析，识别趋势和异常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对未达标的指标进行根本原因分析，制定改进措施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改进措施应明确责任人、时间表和预期效果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定期向管理层报告指标达成情况和改进进展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9" w:name="_Toc3193"/>
      <w:r>
        <w:rPr>
          <w:rFonts w:hint="eastAsia"/>
          <w:lang w:val="en-US" w:eastAsia="zh-CN"/>
        </w:rPr>
        <w:t>过程测量指标</w:t>
      </w:r>
      <w:bookmarkEnd w:id="3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服务可用性和连续性测量指标如表4-1所示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74"/>
        <w:gridCol w:w="3602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0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74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关键服务可用率</w:t>
            </w:r>
          </w:p>
        </w:tc>
        <w:tc>
          <w:tcPr>
            <w:tcW w:w="3602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(服务约定运行时间 - 服务不可用时间) / 服务约定运行时间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≥99%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874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服务中断事件数量</w:t>
            </w:r>
          </w:p>
        </w:tc>
        <w:tc>
          <w:tcPr>
            <w:tcW w:w="3602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统计期内导致服务不可用的事件发生次数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≤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1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次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40" w:name="bookmark3"/>
      <w:bookmarkEnd w:id="40"/>
      <w:bookmarkStart w:id="41" w:name="_Toc17424"/>
      <w:bookmarkStart w:id="42" w:name="_Toc1091"/>
      <w:r>
        <w:rPr>
          <w:rStyle w:val="1Char"/>
          <w:rFonts w:eastAsia="宋体" w:hint="eastAsia"/>
          <w:lang w:val="en-US" w:eastAsia="zh-CN"/>
        </w:rPr>
        <w:t>附则</w:t>
      </w:r>
      <w:bookmarkEnd w:id="41"/>
      <w:bookmarkEnd w:id="42"/>
    </w:p>
    <w:p>
      <w:pPr>
        <w:keepNext w:val="0"/>
        <w:keepLines w:val="0"/>
        <w:pageBreakBefore w:val="0"/>
        <w:widowControl w:val="0"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bookmark14"/>
      <w:bookmarkEnd w:id="43"/>
      <w:bookmarkStart w:id="44" w:name="_Toc10980"/>
      <w:r>
        <w:rPr>
          <w:rFonts w:hint="eastAsia"/>
          <w:lang w:val="en-US" w:eastAsia="zh-CN"/>
        </w:rPr>
        <w:t>附件</w:t>
      </w:r>
      <w:bookmarkEnd w:id="44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5" w:name="_Toc24695"/>
      <w:r>
        <w:rPr>
          <w:rFonts w:hint="eastAsia"/>
          <w:lang w:val="en-US" w:eastAsia="zh-CN"/>
        </w:rPr>
        <w:t>记录</w:t>
      </w:r>
      <w:bookmarkEnd w:id="4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86BC0D"/>
    <w:multiLevelType w:val="singleLevel"/>
    <w:tmpl w:val="8886BC0D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8F775B85"/>
    <w:multiLevelType w:val="singleLevel"/>
    <w:tmpl w:val="8F775B8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B893E50"/>
    <w:multiLevelType w:val="singleLevel"/>
    <w:tmpl w:val="9B893E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D3EBC90"/>
    <w:multiLevelType w:val="singleLevel"/>
    <w:tmpl w:val="9D3EBC9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A1F41FA0"/>
    <w:multiLevelType w:val="singleLevel"/>
    <w:tmpl w:val="A1F41FA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A4765F0D"/>
    <w:multiLevelType w:val="singleLevel"/>
    <w:tmpl w:val="A4765F0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A56C2F11"/>
    <w:multiLevelType w:val="singleLevel"/>
    <w:tmpl w:val="A56C2F11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A690AE1D"/>
    <w:multiLevelType w:val="singleLevel"/>
    <w:tmpl w:val="A690AE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A785F193"/>
    <w:multiLevelType w:val="singleLevel"/>
    <w:tmpl w:val="A785F19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B7060A27"/>
    <w:multiLevelType w:val="singleLevel"/>
    <w:tmpl w:val="B7060A2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BA054120"/>
    <w:multiLevelType w:val="singleLevel"/>
    <w:tmpl w:val="BA05412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C9BFB0F4"/>
    <w:multiLevelType w:val="singleLevel"/>
    <w:tmpl w:val="C9BFB0F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CD5B835A"/>
    <w:multiLevelType w:val="singleLevel"/>
    <w:tmpl w:val="CD5B835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D092D5FB"/>
    <w:multiLevelType w:val="singleLevel"/>
    <w:tmpl w:val="D092D5F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E4D03AA4"/>
    <w:multiLevelType w:val="singleLevel"/>
    <w:tmpl w:val="E4D03AA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F4663B23"/>
    <w:multiLevelType w:val="singleLevel"/>
    <w:tmpl w:val="F4663B23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7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051D2CC1"/>
    <w:multiLevelType w:val="singleLevel"/>
    <w:tmpl w:val="051D2C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236B5546"/>
    <w:multiLevelType w:val="singleLevel"/>
    <w:tmpl w:val="236B554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247B630F"/>
    <w:multiLevelType w:val="singleLevel"/>
    <w:tmpl w:val="247B630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454B5F9F"/>
    <w:multiLevelType w:val="singleLevel"/>
    <w:tmpl w:val="454B5F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58D3A087"/>
    <w:multiLevelType w:val="singleLevel"/>
    <w:tmpl w:val="58D3A08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A262505"/>
    <w:multiLevelType w:val="singleLevel"/>
    <w:tmpl w:val="5A262505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4">
    <w:nsid w:val="5B3DEA92"/>
    <w:multiLevelType w:val="singleLevel"/>
    <w:tmpl w:val="5B3DEA9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5">
    <w:nsid w:val="5F5071D4"/>
    <w:multiLevelType w:val="singleLevel"/>
    <w:tmpl w:val="5F5071D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0272A2B"/>
    <w:multiLevelType w:val="singleLevel"/>
    <w:tmpl w:val="70272A2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DFA36E5"/>
    <w:multiLevelType w:val="singleLevel"/>
    <w:tmpl w:val="7DFA36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8"/>
  </w:num>
  <w:num w:numId="3">
    <w:abstractNumId w:val="26"/>
  </w:num>
  <w:num w:numId="4">
    <w:abstractNumId w:val="6"/>
  </w:num>
  <w:num w:numId="5">
    <w:abstractNumId w:val="9"/>
  </w:num>
  <w:num w:numId="6">
    <w:abstractNumId w:val="2"/>
  </w:num>
  <w:num w:numId="7">
    <w:abstractNumId w:val="15"/>
  </w:num>
  <w:num w:numId="8">
    <w:abstractNumId w:val="10"/>
  </w:num>
  <w:num w:numId="9">
    <w:abstractNumId w:val="22"/>
  </w:num>
  <w:num w:numId="10">
    <w:abstractNumId w:val="25"/>
  </w:num>
  <w:num w:numId="11">
    <w:abstractNumId w:val="5"/>
  </w:num>
  <w:num w:numId="12">
    <w:abstractNumId w:val="11"/>
  </w:num>
  <w:num w:numId="13">
    <w:abstractNumId w:val="7"/>
  </w:num>
  <w:num w:numId="14">
    <w:abstractNumId w:val="18"/>
  </w:num>
  <w:num w:numId="15">
    <w:abstractNumId w:val="4"/>
  </w:num>
  <w:num w:numId="16">
    <w:abstractNumId w:val="27"/>
  </w:num>
  <w:num w:numId="17">
    <w:abstractNumId w:val="23"/>
  </w:num>
  <w:num w:numId="18">
    <w:abstractNumId w:val="19"/>
  </w:num>
  <w:num w:numId="19">
    <w:abstractNumId w:val="12"/>
  </w:num>
  <w:num w:numId="20">
    <w:abstractNumId w:val="24"/>
  </w:num>
  <w:num w:numId="21">
    <w:abstractNumId w:val="21"/>
  </w:num>
  <w:num w:numId="22">
    <w:abstractNumId w:val="16"/>
  </w:num>
  <w:num w:numId="23">
    <w:abstractNumId w:val="3"/>
  </w:num>
  <w:num w:numId="24">
    <w:abstractNumId w:val="0"/>
  </w:num>
  <w:num w:numId="25">
    <w:abstractNumId w:val="20"/>
  </w:num>
  <w:num w:numId="26">
    <w:abstractNumId w:val="14"/>
  </w:num>
  <w:num w:numId="27">
    <w:abstractNumId w:val="13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2998</Words>
  <Characters>3330</Characters>
  <Application>Microsoft Office Word</Application>
  <DocSecurity>0</DocSecurity>
  <Lines>0</Lines>
  <Paragraphs>0</Paragraphs>
  <ScaleCrop>false</ScaleCrop>
  <Company/>
  <LinksUpToDate>false</LinksUpToDate>
  <CharactersWithSpaces>3685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