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8006"/>
      <w:bookmarkStart w:id="1" w:name="_GoBack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1"/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天津图云智能科技有限公司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2" w:name="_Toc27144"/>
      <w:r>
        <w:rPr>
          <w:rFonts w:hint="eastAsia"/>
          <w:lang w:val="en-US" w:eastAsia="zh-CN"/>
        </w:rPr>
        <w:t>容量管理制度</w:t>
      </w:r>
      <w:bookmarkEnd w:id="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TJTY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粱学敏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_Toc18006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天津图云智能科技有限公司</w:t>
          </w:r>
          <w:r>
            <w:tab/>
          </w:r>
          <w:r>
            <w:fldChar w:fldCharType="begin"/>
          </w:r>
          <w:r>
            <w:instrText xml:space="preserve"> PAGEREF _Toc18006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_Toc27144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容量管理制度</w:t>
          </w:r>
          <w:r>
            <w:tab/>
          </w:r>
          <w:r>
            <w:fldChar w:fldCharType="begin"/>
          </w:r>
          <w:r>
            <w:instrText xml:space="preserve"> PAGEREF _Toc27144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_Toc10791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_Toc10791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_Toc4376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_Toc4376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_Toc11143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_Toc11143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_Toc24294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_Toc24294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_Toc11125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_Toc11125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_Toc1458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运维部经理</w:t>
          </w:r>
          <w:r>
            <w:tab/>
          </w:r>
          <w:r>
            <w:fldChar w:fldCharType="begin"/>
          </w:r>
          <w:r>
            <w:instrText xml:space="preserve"> PAGEREF _Toc1458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_Toc7018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1.4.2. </w:t>
          </w:r>
          <w:r>
            <w:rPr>
              <w:rFonts w:hint="eastAsia"/>
              <w:lang w:val="en-US" w:eastAsia="zh-CN"/>
            </w:rPr>
            <w:t>运维工程师</w:t>
          </w:r>
          <w:r>
            <w:tab/>
          </w:r>
          <w:r>
            <w:fldChar w:fldCharType="begin"/>
          </w:r>
          <w:r>
            <w:instrText xml:space="preserve"> PAGEREF _Toc7018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1.4.3. </w:t>
          </w:r>
          <w:r>
            <w:rPr>
              <w:rFonts w:hint="eastAsia"/>
              <w:lang w:val="en-US" w:eastAsia="zh-CN"/>
            </w:rPr>
            <w:t>其他运维相关</w:t>
          </w:r>
          <w:r>
            <w:rPr>
              <w:rFonts w:hint="default"/>
              <w:lang w:val="en-US" w:eastAsia="zh-CN"/>
            </w:rPr>
            <w:t>部门</w:t>
          </w:r>
          <w:r>
            <w:tab/>
          </w:r>
          <w:r>
            <w:fldChar w:fldCharType="begin"/>
          </w:r>
          <w:r>
            <w:instrText xml:space="preserve"> PAGEREF _Toc104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_Toc25774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_Toc25774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_Toc11533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_Toc11533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_Toc10119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容量管理</w:t>
          </w:r>
          <w:r>
            <w:tab/>
          </w:r>
          <w:r>
            <w:fldChar w:fldCharType="begin"/>
          </w:r>
          <w:r>
            <w:instrText xml:space="preserve"> PAGEREF _Toc10119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_Toc25540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业务容量管理</w:t>
          </w:r>
          <w:r>
            <w:tab/>
          </w:r>
          <w:r>
            <w:fldChar w:fldCharType="begin"/>
          </w:r>
          <w:r>
            <w:instrText xml:space="preserve"> PAGEREF _Toc25540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_Toc30908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服务容量管理</w:t>
          </w:r>
          <w:r>
            <w:tab/>
          </w:r>
          <w:r>
            <w:fldChar w:fldCharType="begin"/>
          </w:r>
          <w:r>
            <w:instrText xml:space="preserve"> PAGEREF _Toc30908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_Toc14012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3.4. </w:t>
          </w:r>
          <w:r>
            <w:rPr>
              <w:rFonts w:hint="eastAsia"/>
            </w:rPr>
            <w:t>资源容量管理</w:t>
          </w:r>
          <w:r>
            <w:tab/>
          </w:r>
          <w:r>
            <w:fldChar w:fldCharType="begin"/>
          </w:r>
          <w:r>
            <w:instrText xml:space="preserve"> PAGEREF _Toc14012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_Toc14391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3.5. </w:t>
          </w:r>
          <w:r>
            <w:rPr>
              <w:rFonts w:hint="eastAsia"/>
            </w:rPr>
            <w:t>容量基线</w:t>
          </w:r>
          <w:r>
            <w:tab/>
          </w:r>
          <w:r>
            <w:fldChar w:fldCharType="begin"/>
          </w:r>
          <w:r>
            <w:instrText xml:space="preserve"> PAGEREF _Toc14391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_Toc10946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_Toc10946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_Toc12762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容量规划管理</w:t>
          </w:r>
          <w:r>
            <w:tab/>
          </w:r>
          <w:r>
            <w:fldChar w:fldCharType="begin"/>
          </w:r>
          <w:r>
            <w:instrText xml:space="preserve"> PAGEREF _Toc12762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_Toc30042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4.1.1. 业务需求分析</w:t>
          </w:r>
          <w:r>
            <w:tab/>
          </w:r>
          <w:r>
            <w:fldChar w:fldCharType="begin"/>
          </w:r>
          <w:r>
            <w:instrText xml:space="preserve"> PAGEREF _Toc30042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_Toc438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4.1.2. 容量预测</w:t>
          </w:r>
          <w:r>
            <w:tab/>
          </w:r>
          <w:r>
            <w:fldChar w:fldCharType="begin"/>
          </w:r>
          <w:r>
            <w:instrText xml:space="preserve"> PAGEREF _Toc438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_Toc29820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4.1.3. 容量计划制定</w:t>
          </w:r>
          <w:r>
            <w:tab/>
          </w:r>
          <w:r>
            <w:fldChar w:fldCharType="begin"/>
          </w:r>
          <w:r>
            <w:instrText xml:space="preserve"> PAGEREF _Toc29820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_Toc16203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容量监控管理</w:t>
          </w:r>
          <w:r>
            <w:tab/>
          </w:r>
          <w:r>
            <w:fldChar w:fldCharType="begin"/>
          </w:r>
          <w:r>
            <w:instrText xml:space="preserve"> PAGEREF _Toc16203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_Toc30064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4.2.1. 监控指标体系</w:t>
          </w:r>
          <w:r>
            <w:tab/>
          </w:r>
          <w:r>
            <w:fldChar w:fldCharType="begin"/>
          </w:r>
          <w:r>
            <w:instrText xml:space="preserve"> PAGEREF _Toc30064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_Toc20345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4.2.2. 监控数据收集</w:t>
          </w:r>
          <w:r>
            <w:tab/>
          </w:r>
          <w:r>
            <w:fldChar w:fldCharType="begin"/>
          </w:r>
          <w:r>
            <w:instrText xml:space="preserve"> PAGEREF _Toc20345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_Toc19297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4.2.3. 阈值管理</w:t>
          </w:r>
          <w:r>
            <w:tab/>
          </w:r>
          <w:r>
            <w:fldChar w:fldCharType="begin"/>
          </w:r>
          <w:r>
            <w:instrText xml:space="preserve"> PAGEREF _Toc19297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_Toc31563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容量分析管理</w:t>
          </w:r>
          <w:r>
            <w:tab/>
          </w:r>
          <w:r>
            <w:fldChar w:fldCharType="begin"/>
          </w:r>
          <w:r>
            <w:instrText xml:space="preserve"> PAGEREF _Toc31563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_Toc31640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4.3.1. 性能数据分析</w:t>
          </w:r>
          <w:r>
            <w:tab/>
          </w:r>
          <w:r>
            <w:fldChar w:fldCharType="begin"/>
          </w:r>
          <w:r>
            <w:instrText xml:space="preserve"> PAGEREF _Toc31640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_Toc6594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4.3.2. 容量报告</w:t>
          </w:r>
          <w:r>
            <w:tab/>
          </w:r>
          <w:r>
            <w:fldChar w:fldCharType="begin"/>
          </w:r>
          <w:r>
            <w:instrText xml:space="preserve"> PAGEREF _Toc6594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_Toc13440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4.3.3. 容量优化</w:t>
          </w:r>
          <w:r>
            <w:tab/>
          </w:r>
          <w:r>
            <w:fldChar w:fldCharType="begin"/>
          </w:r>
          <w:r>
            <w:instrText xml:space="preserve"> PAGEREF _Toc13440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_Toc19782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容量变更管理</w:t>
          </w:r>
          <w:r>
            <w:tab/>
          </w:r>
          <w:r>
            <w:fldChar w:fldCharType="begin"/>
          </w:r>
          <w:r>
            <w:instrText xml:space="preserve"> PAGEREF _Toc19782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_Toc11747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4.4.1. 变更影响评估</w:t>
          </w:r>
          <w:r>
            <w:tab/>
          </w:r>
          <w:r>
            <w:fldChar w:fldCharType="begin"/>
          </w:r>
          <w:r>
            <w:instrText xml:space="preserve"> PAGEREF _Toc11747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_Toc6513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4.4.2. 扩容管理</w:t>
          </w:r>
          <w:r>
            <w:tab/>
          </w:r>
          <w:r>
            <w:fldChar w:fldCharType="begin"/>
          </w:r>
          <w:r>
            <w:instrText xml:space="preserve"> PAGEREF _Toc6513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_Toc17412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关键控制点与测量指标</w:t>
          </w:r>
          <w:r>
            <w:tab/>
          </w:r>
          <w:r>
            <w:fldChar w:fldCharType="begin"/>
          </w:r>
          <w:r>
            <w:instrText xml:space="preserve"> PAGEREF _Toc17412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_Toc31816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4.5.1. 关键控制点</w:t>
          </w:r>
          <w:r>
            <w:tab/>
          </w:r>
          <w:r>
            <w:fldChar w:fldCharType="begin"/>
          </w:r>
          <w:r>
            <w:instrText xml:space="preserve"> PAGEREF _Toc31816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_Toc27769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4.5.2. 持续改进</w:t>
          </w:r>
          <w:r>
            <w:tab/>
          </w:r>
          <w:r>
            <w:fldChar w:fldCharType="begin"/>
          </w:r>
          <w:r>
            <w:instrText xml:space="preserve"> PAGEREF _Toc27769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_Toc19997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4.5.3. </w:t>
          </w:r>
          <w:r>
            <w:rPr>
              <w:rFonts w:hint="eastAsia"/>
              <w:lang w:val="en-US" w:eastAsia="zh-CN"/>
            </w:rPr>
            <w:t>过程测量指标</w:t>
          </w:r>
          <w:r>
            <w:tab/>
          </w:r>
          <w:r>
            <w:fldChar w:fldCharType="begin"/>
          </w:r>
          <w:r>
            <w:instrText xml:space="preserve"> PAGEREF _Toc19997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_Toc23290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_Toc23290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_Toc1461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_Toc7551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_Toc7551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3" w:name="_Toc10791"/>
      <w:r>
        <w:rPr>
          <w:rFonts w:hint="eastAsia"/>
          <w:lang w:val="en-US" w:eastAsia="zh-CN"/>
        </w:rPr>
        <w:t>总则</w:t>
      </w:r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4376"/>
      <w:r>
        <w:rPr>
          <w:rFonts w:hint="eastAsia"/>
          <w:lang w:val="en-US" w:eastAsia="zh-CN"/>
        </w:rPr>
        <w:t>目的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为规范天津图云智能科技有限公司运维服务的容量管理，确保信息系统资源能够有效支撑业务发展需求，在保证服务性能的前提下优化资源利用率，控制成本，特制定本制度。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11143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本制度适用于公司运维部、技术中心及所有参与信息系统规划、建设和运维的部门，管理范围涵盖所有支撑关键业务服务的计算、存储、网络等资源容量。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24294"/>
      <w:r>
        <w:rPr>
          <w:rFonts w:hint="eastAsia"/>
          <w:lang w:val="en-US" w:eastAsia="zh-CN"/>
        </w:rPr>
        <w:t>原则</w:t>
      </w:r>
      <w:bookmarkEnd w:id="6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业务导向原则：容量管理必须以业务需求为出发点，确保资源满足业务发展需要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预防为主原则：通过预测和规划，提前识别容量风险，避免资源瓶颈影响服务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成本效益原则：在保证服务质量的前提下，优化资源配置，提高资源利用率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据驱动原则：基于性能数据和业务指标进行容量决策，确保决策的科学性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1125"/>
      <w:r>
        <w:rPr>
          <w:rFonts w:hint="eastAsia"/>
          <w:lang w:val="en-US" w:eastAsia="zh-CN"/>
        </w:rPr>
        <w:t>岗位职责</w:t>
      </w:r>
      <w:bookmarkEnd w:id="7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1458"/>
      <w:r>
        <w:rPr>
          <w:rFonts w:hint="eastAsia"/>
          <w:lang w:val="en-US" w:eastAsia="zh-CN"/>
        </w:rPr>
        <w:t>运维部经理</w:t>
      </w:r>
      <w:bookmarkEnd w:id="8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负责容量管理制度的制定、实施和监督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组织容量规划评审，审批容量管理计划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协调资源，确保容量管理措施有效执行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7018"/>
      <w:r>
        <w:rPr>
          <w:rFonts w:hint="eastAsia"/>
          <w:lang w:val="en-US" w:eastAsia="zh-CN"/>
        </w:rPr>
        <w:t>运维工程师</w:t>
      </w:r>
      <w:bookmarkEnd w:id="9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负责容量监控、数据收集和分析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编制容量报告，提出优化建议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维护容量管理数据库和模型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104"/>
      <w:r>
        <w:rPr>
          <w:rFonts w:hint="eastAsia"/>
          <w:lang w:val="en-US" w:eastAsia="zh-CN"/>
        </w:rPr>
        <w:t>其他运维相关</w:t>
      </w:r>
      <w:r>
        <w:rPr>
          <w:rFonts w:hint="default"/>
          <w:lang w:val="en-US" w:eastAsia="zh-CN"/>
        </w:rPr>
        <w:t>部门</w:t>
      </w:r>
      <w:bookmarkEnd w:id="10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提供业务发展规划和容量需求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配合进行业务影响分析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参与容量规划评审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1" w:name="_Toc25774"/>
      <w:r>
        <w:rPr>
          <w:rFonts w:hint="eastAsia"/>
          <w:lang w:val="en-US" w:eastAsia="zh-CN"/>
        </w:rPr>
        <w:t>引用依据</w:t>
      </w:r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本制度制定引用了以下国家标准与行业规范：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 《信息技术服务 运行维护 第3部分：应急响应规范》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2" w:name="_Toc11533"/>
      <w:r>
        <w:rPr>
          <w:rFonts w:hint="eastAsia"/>
          <w:lang w:val="en-US" w:eastAsia="zh-CN"/>
        </w:rPr>
        <w:t>定义与术语</w:t>
      </w:r>
      <w:bookmarkEnd w:id="1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3" w:name="_Toc10119"/>
      <w:r>
        <w:rPr>
          <w:rFonts w:hint="eastAsia"/>
        </w:rPr>
        <w:t>容量管理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确保IT资源在合适的时间以合适的成本提供合适容量的过程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4" w:name="_Toc25540"/>
      <w:r>
        <w:rPr>
          <w:rFonts w:hint="eastAsia"/>
        </w:rPr>
        <w:t>业务容量管理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关注业务量对系统资源需求的影响，建立业务量与资源使用的关系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5" w:name="_Toc30908"/>
      <w:r>
        <w:rPr>
          <w:rFonts w:hint="eastAsia"/>
        </w:rPr>
        <w:t>服务容量管理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关注终端用户的服务体验，确保服务性能达到既定目标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6" w:name="_Toc14012"/>
      <w:r>
        <w:rPr>
          <w:rFonts w:hint="eastAsia"/>
        </w:rPr>
        <w:t>资源容量管理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关注单个IT组件的性能和使用情况，如CPU、内存、存储等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7" w:name="_Toc14391"/>
      <w:r>
        <w:rPr>
          <w:rFonts w:hint="eastAsia"/>
        </w:rPr>
        <w:t>容量基线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在特定时间点建立的系统性能和容量使用基准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10946"/>
      <w:r>
        <w:rPr>
          <w:rFonts w:hint="eastAsia"/>
          <w:lang w:val="en-US" w:eastAsia="zh-CN"/>
        </w:rPr>
        <w:t>管理内容与要求</w:t>
      </w:r>
      <w:bookmarkEnd w:id="18"/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12762"/>
      <w:r>
        <w:rPr>
          <w:rFonts w:hint="default"/>
          <w:lang w:val="en-US" w:eastAsia="zh-CN"/>
        </w:rPr>
        <w:t>容量规划管理</w:t>
      </w:r>
      <w:bookmarkEnd w:id="19"/>
    </w:p>
    <w:p>
      <w:pPr>
        <w:pStyle w:val="3"/>
        <w:bidi w:val="0"/>
        <w:rPr>
          <w:rFonts w:hint="default"/>
          <w:lang w:val="en-US" w:eastAsia="zh-CN"/>
        </w:rPr>
      </w:pPr>
      <w:bookmarkStart w:id="20" w:name="_Toc30042"/>
      <w:r>
        <w:rPr>
          <w:rFonts w:hint="default"/>
          <w:lang w:val="en-US" w:eastAsia="zh-CN"/>
        </w:rPr>
        <w:t>业务需求分析</w:t>
      </w:r>
      <w:bookmarkEnd w:id="20"/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每季度与业务部门沟通，收集业务发展计划和预测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分析历史业务数据，识别业务增长趋势和季节性特征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将业务需求转化为技术资源需求，建立业务量与资源使用的关联模型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1" w:name="_Toc438"/>
      <w:r>
        <w:rPr>
          <w:rFonts w:hint="default"/>
          <w:lang w:val="en-US" w:eastAsia="zh-CN"/>
        </w:rPr>
        <w:t>容量预测</w:t>
      </w:r>
      <w:bookmarkEnd w:id="21"/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基于业务预测和历史数据，预测未来资源需求</w:t>
      </w:r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使用趋势分析、统计模型等方法提高预测准确性</w:t>
      </w:r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识别可能的容量瓶颈和风险点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2" w:name="_Toc29820"/>
      <w:r>
        <w:rPr>
          <w:rFonts w:hint="default"/>
          <w:lang w:val="en-US" w:eastAsia="zh-CN"/>
        </w:rPr>
        <w:t>容量计划制定</w:t>
      </w:r>
      <w:bookmarkEnd w:id="22"/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编制年度容量计划，明确资源采购和扩容方案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计划应包括实施时间表、资源需求和预算估算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定期评审和更新容量计划，确保与业务发展同步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3" w:name="_Toc16203"/>
      <w:r>
        <w:rPr>
          <w:rFonts w:hint="default"/>
          <w:lang w:val="en-US" w:eastAsia="zh-CN"/>
        </w:rPr>
        <w:t>容量监控管理</w:t>
      </w:r>
      <w:bookmarkEnd w:id="23"/>
    </w:p>
    <w:p>
      <w:pPr>
        <w:pStyle w:val="3"/>
        <w:bidi w:val="0"/>
        <w:rPr>
          <w:rFonts w:hint="default"/>
          <w:lang w:val="en-US" w:eastAsia="zh-CN"/>
        </w:rPr>
      </w:pPr>
      <w:bookmarkStart w:id="24" w:name="_Toc30064"/>
      <w:r>
        <w:rPr>
          <w:rFonts w:hint="default"/>
          <w:lang w:val="en-US" w:eastAsia="zh-CN"/>
        </w:rPr>
        <w:t>监控指标体系</w:t>
      </w:r>
      <w:bookmarkEnd w:id="24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建立完整的容量监控指标体系，包括：</w:t>
      </w:r>
    </w:p>
    <w:p>
      <w:pPr>
        <w:pStyle w:val="a1"/>
        <w:numPr>
          <w:ilvl w:val="0"/>
          <w:numId w:val="10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计算资源：CPU使用率、内存使用率、虚拟机密度</w:t>
      </w:r>
    </w:p>
    <w:p>
      <w:pPr>
        <w:pStyle w:val="a1"/>
        <w:numPr>
          <w:ilvl w:val="0"/>
          <w:numId w:val="10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存储资源：存储空间使用率、IOPS、读写延迟</w:t>
      </w:r>
    </w:p>
    <w:p>
      <w:pPr>
        <w:pStyle w:val="a1"/>
        <w:numPr>
          <w:ilvl w:val="0"/>
          <w:numId w:val="10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网络资源：带宽使用率、网络延迟、丢包率</w:t>
      </w:r>
    </w:p>
    <w:p>
      <w:pPr>
        <w:pStyle w:val="a1"/>
        <w:numPr>
          <w:ilvl w:val="0"/>
          <w:numId w:val="10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应用性能：并发用户数、事务响应时间、吞吐量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5" w:name="_Toc20345"/>
      <w:r>
        <w:rPr>
          <w:rFonts w:hint="default"/>
          <w:lang w:val="en-US" w:eastAsia="zh-CN"/>
        </w:rPr>
        <w:t>监控数据收集</w:t>
      </w:r>
      <w:bookmarkEnd w:id="25"/>
    </w:p>
    <w:p>
      <w:pPr>
        <w:pStyle w:val="a1"/>
        <w:numPr>
          <w:ilvl w:val="0"/>
          <w:numId w:val="11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实施7×24小时容量监控，数据采集频率不低于5分钟</w:t>
      </w:r>
    </w:p>
    <w:p>
      <w:pPr>
        <w:pStyle w:val="a1"/>
        <w:numPr>
          <w:ilvl w:val="0"/>
          <w:numId w:val="11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确保监控数据的完整性和准确性</w:t>
      </w:r>
    </w:p>
    <w:p>
      <w:pPr>
        <w:pStyle w:val="a1"/>
        <w:numPr>
          <w:ilvl w:val="0"/>
          <w:numId w:val="11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监控数据保存期限不少于13个月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6" w:name="_Toc19297"/>
      <w:r>
        <w:rPr>
          <w:rFonts w:hint="default"/>
          <w:lang w:val="en-US" w:eastAsia="zh-CN"/>
        </w:rPr>
        <w:t>阈值管理</w:t>
      </w:r>
      <w:bookmarkEnd w:id="26"/>
    </w:p>
    <w:p>
      <w:pPr>
        <w:pStyle w:val="a1"/>
        <w:numPr>
          <w:ilvl w:val="0"/>
          <w:numId w:val="1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设置多级预警阈值（警告、严重、紧急）</w:t>
      </w:r>
    </w:p>
    <w:p>
      <w:pPr>
        <w:pStyle w:val="a1"/>
        <w:numPr>
          <w:ilvl w:val="0"/>
          <w:numId w:val="1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定期评审和优化阈值设置</w:t>
      </w:r>
    </w:p>
    <w:p>
      <w:pPr>
        <w:pStyle w:val="a1"/>
        <w:numPr>
          <w:ilvl w:val="0"/>
          <w:numId w:val="1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建立阈值触发后的应急响应流程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7" w:name="_Toc31563"/>
      <w:r>
        <w:rPr>
          <w:rFonts w:hint="default"/>
          <w:lang w:val="en-US" w:eastAsia="zh-CN"/>
        </w:rPr>
        <w:t>容量分析管理</w:t>
      </w:r>
      <w:bookmarkEnd w:id="27"/>
    </w:p>
    <w:p>
      <w:pPr>
        <w:pStyle w:val="3"/>
        <w:bidi w:val="0"/>
        <w:rPr>
          <w:rFonts w:hint="default"/>
          <w:lang w:val="en-US" w:eastAsia="zh-CN"/>
        </w:rPr>
      </w:pPr>
      <w:bookmarkStart w:id="28" w:name="_Toc31640"/>
      <w:r>
        <w:rPr>
          <w:rFonts w:hint="default"/>
          <w:lang w:val="en-US" w:eastAsia="zh-CN"/>
        </w:rPr>
        <w:t>性能数据分析</w:t>
      </w:r>
      <w:bookmarkEnd w:id="28"/>
    </w:p>
    <w:p>
      <w:pPr>
        <w:pStyle w:val="a1"/>
        <w:numPr>
          <w:ilvl w:val="0"/>
          <w:numId w:val="1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每周分析关键性能指标，识别异常趋势</w:t>
      </w:r>
    </w:p>
    <w:p>
      <w:pPr>
        <w:pStyle w:val="a1"/>
        <w:numPr>
          <w:ilvl w:val="0"/>
          <w:numId w:val="1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分析资源使用模式，优化资源配置</w:t>
      </w:r>
    </w:p>
    <w:p>
      <w:pPr>
        <w:pStyle w:val="a1"/>
        <w:numPr>
          <w:ilvl w:val="0"/>
          <w:numId w:val="1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建立性能基线，及时发现性能偏离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9" w:name="_Toc6594"/>
      <w:r>
        <w:rPr>
          <w:rFonts w:hint="default"/>
          <w:lang w:val="en-US" w:eastAsia="zh-CN"/>
        </w:rPr>
        <w:t>容量报告</w:t>
      </w:r>
      <w:bookmarkEnd w:id="2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每月编制容量管理报告，内容包括：</w:t>
      </w:r>
    </w:p>
    <w:p>
      <w:pPr>
        <w:pStyle w:val="a1"/>
        <w:numPr>
          <w:ilvl w:val="0"/>
          <w:numId w:val="1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资源使用情况和趋势分析</w:t>
      </w:r>
    </w:p>
    <w:p>
      <w:pPr>
        <w:pStyle w:val="a1"/>
        <w:numPr>
          <w:ilvl w:val="0"/>
          <w:numId w:val="1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容量预警和风险提示</w:t>
      </w:r>
    </w:p>
    <w:p>
      <w:pPr>
        <w:pStyle w:val="a1"/>
        <w:numPr>
          <w:ilvl w:val="0"/>
          <w:numId w:val="1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优化建议和实施效果</w:t>
      </w:r>
    </w:p>
    <w:p>
      <w:pPr>
        <w:pStyle w:val="a1"/>
        <w:numPr>
          <w:ilvl w:val="0"/>
          <w:numId w:val="1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下阶段容量规划建议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30" w:name="_Toc13440"/>
      <w:r>
        <w:rPr>
          <w:rFonts w:hint="default"/>
          <w:lang w:val="en-US" w:eastAsia="zh-CN"/>
        </w:rPr>
        <w:t>容量优化</w:t>
      </w:r>
      <w:bookmarkEnd w:id="30"/>
    </w:p>
    <w:p>
      <w:pPr>
        <w:pStyle w:val="a1"/>
        <w:numPr>
          <w:ilvl w:val="0"/>
          <w:numId w:val="1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识别资源利用率过低或过高的系统</w:t>
      </w:r>
    </w:p>
    <w:p>
      <w:pPr>
        <w:pStyle w:val="a1"/>
        <w:numPr>
          <w:ilvl w:val="0"/>
          <w:numId w:val="1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提出资源调配或扩容建议</w:t>
      </w:r>
    </w:p>
    <w:p>
      <w:pPr>
        <w:pStyle w:val="a1"/>
        <w:numPr>
          <w:ilvl w:val="0"/>
          <w:numId w:val="1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实施资源优化措施，跟踪优化效果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1" w:name="_Toc19782"/>
      <w:r>
        <w:rPr>
          <w:rFonts w:hint="default"/>
          <w:lang w:val="en-US" w:eastAsia="zh-CN"/>
        </w:rPr>
        <w:t>容量变更管理</w:t>
      </w:r>
      <w:bookmarkEnd w:id="31"/>
    </w:p>
    <w:p>
      <w:pPr>
        <w:pStyle w:val="3"/>
        <w:bidi w:val="0"/>
        <w:rPr>
          <w:rFonts w:hint="default"/>
          <w:lang w:val="en-US" w:eastAsia="zh-CN"/>
        </w:rPr>
      </w:pPr>
      <w:bookmarkStart w:id="32" w:name="_Toc11747"/>
      <w:r>
        <w:rPr>
          <w:rFonts w:hint="default"/>
          <w:lang w:val="en-US" w:eastAsia="zh-CN"/>
        </w:rPr>
        <w:t>变更影响评估</w:t>
      </w:r>
      <w:bookmarkEnd w:id="32"/>
    </w:p>
    <w:p>
      <w:pPr>
        <w:pStyle w:val="a1"/>
        <w:numPr>
          <w:ilvl w:val="0"/>
          <w:numId w:val="1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对所有可能影响容量的变更进行容量影响评估</w:t>
      </w:r>
    </w:p>
    <w:p>
      <w:pPr>
        <w:pStyle w:val="a1"/>
        <w:numPr>
          <w:ilvl w:val="0"/>
          <w:numId w:val="1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评估内容包括性能影响、资源需求等</w:t>
      </w:r>
    </w:p>
    <w:p>
      <w:pPr>
        <w:pStyle w:val="a1"/>
        <w:numPr>
          <w:ilvl w:val="0"/>
          <w:numId w:val="1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根据评估结果制定相应的容量保障措施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33" w:name="_Toc6513"/>
      <w:r>
        <w:rPr>
          <w:rFonts w:hint="default"/>
          <w:lang w:val="en-US" w:eastAsia="zh-CN"/>
        </w:rPr>
        <w:t>扩容管理</w:t>
      </w:r>
      <w:bookmarkEnd w:id="33"/>
    </w:p>
    <w:p>
      <w:pPr>
        <w:pStyle w:val="a1"/>
        <w:numPr>
          <w:ilvl w:val="0"/>
          <w:numId w:val="17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建立标准化的扩容流程</w:t>
      </w:r>
    </w:p>
    <w:p>
      <w:pPr>
        <w:pStyle w:val="a1"/>
        <w:numPr>
          <w:ilvl w:val="0"/>
          <w:numId w:val="17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确保扩容过程不影响现有服务</w:t>
      </w:r>
    </w:p>
    <w:p>
      <w:pPr>
        <w:pStyle w:val="a1"/>
        <w:numPr>
          <w:ilvl w:val="0"/>
          <w:numId w:val="17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扩容后验证容量提升效果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4" w:name="_Toc17412"/>
      <w:r>
        <w:rPr>
          <w:rFonts w:hint="default"/>
          <w:lang w:val="en-US" w:eastAsia="zh-CN"/>
        </w:rPr>
        <w:t>关键控制点与测量指标</w:t>
      </w:r>
      <w:bookmarkEnd w:id="34"/>
    </w:p>
    <w:p>
      <w:pPr>
        <w:pStyle w:val="3"/>
        <w:bidi w:val="0"/>
        <w:rPr>
          <w:rFonts w:hint="default"/>
          <w:lang w:val="en-US" w:eastAsia="zh-CN"/>
        </w:rPr>
      </w:pPr>
      <w:bookmarkStart w:id="35" w:name="_Toc31816"/>
      <w:r>
        <w:rPr>
          <w:rFonts w:hint="default"/>
          <w:lang w:val="en-US" w:eastAsia="zh-CN"/>
        </w:rPr>
        <w:t>关键控制点</w:t>
      </w:r>
      <w:bookmarkEnd w:id="35"/>
    </w:p>
    <w:p>
      <w:pPr>
        <w:pStyle w:val="a1"/>
        <w:numPr>
          <w:ilvl w:val="0"/>
          <w:numId w:val="1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所有关键系统必须建立容量基线和监控机制</w:t>
      </w:r>
    </w:p>
    <w:p>
      <w:pPr>
        <w:pStyle w:val="a1"/>
        <w:numPr>
          <w:ilvl w:val="0"/>
          <w:numId w:val="1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业务容量需求必须经过评审并纳入容量规划</w:t>
      </w:r>
    </w:p>
    <w:p>
      <w:pPr>
        <w:pStyle w:val="a1"/>
        <w:numPr>
          <w:ilvl w:val="0"/>
          <w:numId w:val="1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容量预警必须及时处理并跟踪解决</w:t>
      </w:r>
    </w:p>
    <w:p>
      <w:pPr>
        <w:pStyle w:val="a1"/>
        <w:numPr>
          <w:ilvl w:val="0"/>
          <w:numId w:val="1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所有容量变更必须经过影响评估和审批</w:t>
      </w:r>
    </w:p>
    <w:p>
      <w:pPr>
        <w:pStyle w:val="a1"/>
        <w:numPr>
          <w:ilvl w:val="0"/>
          <w:numId w:val="1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容量报告必须定期提交并用于管理决策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36" w:name="_Toc27769"/>
      <w:r>
        <w:rPr>
          <w:rFonts w:hint="default"/>
          <w:lang w:val="en-US" w:eastAsia="zh-CN"/>
        </w:rPr>
        <w:t>持续改进</w:t>
      </w:r>
      <w:bookmarkEnd w:id="36"/>
    </w:p>
    <w:p>
      <w:pPr>
        <w:pStyle w:val="a1"/>
        <w:numPr>
          <w:ilvl w:val="0"/>
          <w:numId w:val="19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定期评审容量管理流程的有效性</w:t>
      </w:r>
    </w:p>
    <w:p>
      <w:pPr>
        <w:pStyle w:val="a1"/>
        <w:numPr>
          <w:ilvl w:val="0"/>
          <w:numId w:val="19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分析容量管理指标，识别改进机会</w:t>
      </w:r>
    </w:p>
    <w:p>
      <w:pPr>
        <w:pStyle w:val="a1"/>
        <w:numPr>
          <w:ilvl w:val="0"/>
          <w:numId w:val="19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优化容量管理工具和方法</w:t>
      </w:r>
    </w:p>
    <w:p>
      <w:pPr>
        <w:pStyle w:val="a1"/>
        <w:numPr>
          <w:ilvl w:val="0"/>
          <w:numId w:val="19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分享容量管理最佳实践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37" w:name="_Toc19997"/>
      <w:r>
        <w:rPr>
          <w:rFonts w:hint="eastAsia"/>
          <w:lang w:val="en-US" w:eastAsia="zh-CN"/>
        </w:rPr>
        <w:t>过程测量指标</w:t>
      </w:r>
      <w:bookmarkEnd w:id="37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容量测量指标如表4-1所示</w:t>
      </w:r>
    </w:p>
    <w:p>
      <w:pPr>
        <w:pStyle w:val="a1"/>
        <w:ind w:left="0" w:right="0" w:firstLine="0" w:leftChars="0" w:rightChars="0" w:firstLineChars="0"/>
        <w:jc w:val="center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</w:rPr>
        <w:t>过程测量指标</w:t>
      </w:r>
      <w:r>
        <w:rPr>
          <w:rFonts w:hint="eastAsia"/>
          <w:lang w:val="en-US" w:eastAsia="zh-CN"/>
        </w:rPr>
        <w:t>表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1874"/>
        <w:gridCol w:w="3602"/>
        <w:gridCol w:w="1107"/>
        <w:gridCol w:w="109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8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60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874" w:type="dxa"/>
          </w:tcPr>
          <w:p>
            <w:pPr>
              <w:pStyle w:val="a1"/>
              <w:widowControl w:val="0"/>
              <w:ind w:left="0" w:firstLine="0" w:leftChars="0" w:firstLineChars="0"/>
              <w:jc w:val="left"/>
              <w:rPr>
                <w:rFonts w:eastAsia="宋体"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容量事件次数</w:t>
            </w:r>
          </w:p>
        </w:tc>
        <w:tc>
          <w:tcPr>
            <w:tcW w:w="3602" w:type="dxa"/>
          </w:tcPr>
          <w:p>
            <w:pPr>
              <w:pStyle w:val="a1"/>
              <w:widowControl w:val="0"/>
              <w:ind w:left="0" w:firstLine="0" w:leftChars="0" w:firstLineChars="0"/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  <w:lang w:val="en-US" w:eastAsia="zh-CN"/>
              </w:rPr>
              <w:t>因容量不足导致的服务事件数量</w:t>
            </w:r>
          </w:p>
        </w:tc>
        <w:tc>
          <w:tcPr>
            <w:tcW w:w="110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季度</w:t>
            </w:r>
          </w:p>
        </w:tc>
        <w:tc>
          <w:tcPr>
            <w:tcW w:w="109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≤</w:t>
            </w:r>
            <w:r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  <w:t>1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次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38" w:name="bookmark3"/>
      <w:bookmarkEnd w:id="38"/>
      <w:bookmarkStart w:id="39" w:name="_Toc17424"/>
      <w:bookmarkStart w:id="40" w:name="_Toc23290"/>
      <w:r>
        <w:rPr>
          <w:rStyle w:val="1Char"/>
          <w:rFonts w:eastAsia="宋体" w:hint="eastAsia"/>
          <w:lang w:val="en-US" w:eastAsia="zh-CN"/>
        </w:rPr>
        <w:t>附则</w:t>
      </w:r>
      <w:bookmarkEnd w:id="39"/>
      <w:bookmarkEnd w:id="40"/>
    </w:p>
    <w:p>
      <w:pPr>
        <w:keepNext w:val="0"/>
        <w:keepLines w:val="0"/>
        <w:pageBreakBefore w:val="0"/>
        <w:widowControl w:val="0"/>
        <w:numPr>
          <w:ilvl w:val="0"/>
          <w:numId w:val="20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hAnsi="宋体" w:cs="宋体" w:hint="eastAsia"/>
          <w:spacing w:val="-1"/>
          <w:sz w:val="24"/>
          <w:szCs w:val="24"/>
          <w:lang w:val="en-US" w:eastAsia="zh-CN"/>
        </w:rPr>
        <w:t>运维部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20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1" w:name="bookmark14"/>
      <w:bookmarkEnd w:id="41"/>
      <w:bookmarkStart w:id="42" w:name="_Toc1461"/>
      <w:r>
        <w:rPr>
          <w:rFonts w:hint="eastAsia"/>
          <w:lang w:val="en-US" w:eastAsia="zh-CN"/>
        </w:rPr>
        <w:t>附件</w:t>
      </w:r>
      <w:bookmarkEnd w:id="42"/>
    </w:p>
    <w:p>
      <w:pPr>
        <w:pStyle w:val="a1"/>
        <w:numPr>
          <w:ilvl w:val="0"/>
          <w:numId w:val="21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《容量监控指标清单》</w:t>
      </w:r>
    </w:p>
    <w:p>
      <w:pPr>
        <w:pStyle w:val="a1"/>
        <w:numPr>
          <w:ilvl w:val="0"/>
          <w:numId w:val="21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《容量计划模板》</w:t>
      </w:r>
    </w:p>
    <w:p>
      <w:pPr>
        <w:pStyle w:val="a1"/>
        <w:numPr>
          <w:ilvl w:val="0"/>
          <w:numId w:val="21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《容量分析报告模板》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3" w:name="_Toc7551"/>
      <w:r>
        <w:rPr>
          <w:rFonts w:hint="eastAsia"/>
          <w:lang w:val="en-US" w:eastAsia="zh-CN"/>
        </w:rPr>
        <w:t>记录</w:t>
      </w:r>
      <w:bookmarkEnd w:id="4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容量管理过程中产生的所有记录，包括但不限于容量计划、监控数据、分析报告、评审记录等，应由运维部统一保存，保存期限不少于3年。</w:t>
      </w: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天津图云智能科技有限公司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8412BE2"/>
    <w:multiLevelType w:val="singleLevel"/>
    <w:tmpl w:val="98412BE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99AA2555"/>
    <w:multiLevelType w:val="singleLevel"/>
    <w:tmpl w:val="99AA255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9BEA6D05"/>
    <w:multiLevelType w:val="singleLevel"/>
    <w:tmpl w:val="9BEA6D0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A70DE481"/>
    <w:multiLevelType w:val="singleLevel"/>
    <w:tmpl w:val="A70DE48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AF159D14"/>
    <w:multiLevelType w:val="singleLevel"/>
    <w:tmpl w:val="AF159D1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B2250646"/>
    <w:multiLevelType w:val="singleLevel"/>
    <w:tmpl w:val="B225064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C9A65FE5"/>
    <w:multiLevelType w:val="singleLevel"/>
    <w:tmpl w:val="C9A65FE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D9B4AE97"/>
    <w:multiLevelType w:val="singleLevel"/>
    <w:tmpl w:val="D9B4AE9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DA8B3FEB"/>
    <w:multiLevelType w:val="singleLevel"/>
    <w:tmpl w:val="DA8B3FE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ECA21F5B"/>
    <w:multiLevelType w:val="singleLevel"/>
    <w:tmpl w:val="ECA21F5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1F60BCC1"/>
    <w:multiLevelType w:val="singleLevel"/>
    <w:tmpl w:val="1F60BCC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36CBF864"/>
    <w:multiLevelType w:val="singleLevel"/>
    <w:tmpl w:val="36CBF86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4371459D"/>
    <w:multiLevelType w:val="singleLevel"/>
    <w:tmpl w:val="4371459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58463229"/>
    <w:multiLevelType w:val="singleLevel"/>
    <w:tmpl w:val="5846322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61251AAA"/>
    <w:multiLevelType w:val="singleLevel"/>
    <w:tmpl w:val="61251AA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6CCEF58F"/>
    <w:multiLevelType w:val="singleLevel"/>
    <w:tmpl w:val="6CCEF58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6D94B4B5"/>
    <w:multiLevelType w:val="singleLevel"/>
    <w:tmpl w:val="6D94B4B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6F86BBDA"/>
    <w:multiLevelType w:val="singleLevel"/>
    <w:tmpl w:val="6F86BBD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0">
    <w:nsid w:val="725501F4"/>
    <w:multiLevelType w:val="singleLevel"/>
    <w:tmpl w:val="725501F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6"/>
  </w:num>
  <w:num w:numId="3">
    <w:abstractNumId w:val="16"/>
  </w:num>
  <w:num w:numId="4">
    <w:abstractNumId w:val="18"/>
  </w:num>
  <w:num w:numId="5">
    <w:abstractNumId w:val="2"/>
  </w:num>
  <w:num w:numId="6">
    <w:abstractNumId w:val="5"/>
  </w:num>
  <w:num w:numId="7">
    <w:abstractNumId w:val="15"/>
  </w:num>
  <w:num w:numId="8">
    <w:abstractNumId w:val="8"/>
  </w:num>
  <w:num w:numId="9">
    <w:abstractNumId w:val="17"/>
  </w:num>
  <w:num w:numId="10">
    <w:abstractNumId w:val="14"/>
  </w:num>
  <w:num w:numId="11">
    <w:abstractNumId w:val="12"/>
  </w:num>
  <w:num w:numId="12">
    <w:abstractNumId w:val="9"/>
  </w:num>
  <w:num w:numId="13">
    <w:abstractNumId w:val="7"/>
  </w:num>
  <w:num w:numId="14">
    <w:abstractNumId w:val="20"/>
  </w:num>
  <w:num w:numId="15">
    <w:abstractNumId w:val="1"/>
  </w:num>
  <w:num w:numId="16">
    <w:abstractNumId w:val="3"/>
  </w:num>
  <w:num w:numId="17">
    <w:abstractNumId w:val="13"/>
  </w:num>
  <w:num w:numId="18">
    <w:abstractNumId w:val="10"/>
  </w:num>
  <w:num w:numId="19">
    <w:abstractNumId w:val="19"/>
  </w:num>
  <w:num w:numId="20">
    <w:abstractNumId w:val="11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2129</Words>
  <Characters>2392</Characters>
  <Application>Microsoft Office Word</Application>
  <DocSecurity>0</DocSecurity>
  <Lines>0</Lines>
  <Paragraphs>0</Paragraphs>
  <ScaleCrop>false</ScaleCrop>
  <Company/>
  <LinksUpToDate>false</LinksUpToDate>
  <CharactersWithSpaces>2565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2025-12-02T11:13:03Z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