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7908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4090"/>
      <w:r>
        <w:rPr>
          <w:rFonts w:hint="eastAsia"/>
          <w:lang w:val="en-US" w:eastAsia="zh-CN"/>
        </w:rPr>
        <w:t>信息安全管理制度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_Toc17908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信息安全管理制度</w:t>
          </w:r>
          <w:r>
            <w:tab/>
          </w:r>
          <w:r>
            <w:fldChar w:fldCharType="begin"/>
          </w:r>
          <w:r>
            <w:instrText xml:space="preserve"> PAGEREF _Toc4090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_Toc29910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_Toc15018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_Toc5224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、原则</w:t>
          </w:r>
          <w:r>
            <w:tab/>
          </w:r>
          <w:r>
            <w:fldChar w:fldCharType="begin"/>
          </w:r>
          <w:r>
            <w:instrText xml:space="preserve"> PAGEREF _Toc11311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_Toc16836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_Toc18041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_Toc4975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_Toc22785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_Toc2523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信息资产</w:t>
          </w:r>
          <w:r>
            <w:tab/>
          </w:r>
          <w:r>
            <w:fldChar w:fldCharType="begin"/>
          </w:r>
          <w:r>
            <w:instrText xml:space="preserve"> PAGEREF _Toc7625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信息安全事件</w:t>
          </w:r>
          <w:r>
            <w:tab/>
          </w:r>
          <w:r>
            <w:fldChar w:fldCharType="begin"/>
          </w:r>
          <w:r>
            <w:instrText xml:space="preserve"> PAGEREF _Toc11513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风险评估</w:t>
          </w:r>
          <w:r>
            <w:tab/>
          </w:r>
          <w:r>
            <w:fldChar w:fldCharType="begin"/>
          </w:r>
          <w:r>
            <w:instrText xml:space="preserve"> PAGEREF _Toc9004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_Toc1848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资产识别与分类</w:t>
          </w:r>
          <w:r>
            <w:tab/>
          </w:r>
          <w:r>
            <w:fldChar w:fldCharType="begin"/>
          </w:r>
          <w:r>
            <w:instrText xml:space="preserve"> PAGEREF _Toc12630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风险识别与评估</w:t>
          </w:r>
          <w:r>
            <w:tab/>
          </w:r>
          <w:r>
            <w:fldChar w:fldCharType="begin"/>
          </w:r>
          <w:r>
            <w:instrText xml:space="preserve"> PAGEREF _Toc29097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风险识别</w:t>
          </w:r>
          <w:r>
            <w:tab/>
          </w:r>
          <w:r>
            <w:fldChar w:fldCharType="begin"/>
          </w:r>
          <w:r>
            <w:instrText xml:space="preserve"> PAGEREF _Toc28767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风险评估</w:t>
          </w:r>
          <w:r>
            <w:tab/>
          </w:r>
          <w:r>
            <w:fldChar w:fldCharType="begin"/>
          </w:r>
          <w:r>
            <w:instrText xml:space="preserve"> PAGEREF _Toc545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4.3. 风险处置</w:t>
          </w:r>
          <w:r>
            <w:rPr>
              <w:rFonts w:hint="eastAsia"/>
              <w:lang w:val="en-US" w:eastAsia="zh-CN"/>
            </w:rPr>
            <w:t>策略</w:t>
          </w:r>
          <w:r>
            <w:tab/>
          </w:r>
          <w:r>
            <w:fldChar w:fldCharType="begin"/>
          </w:r>
          <w:r>
            <w:instrText xml:space="preserve"> PAGEREF _Toc31837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4.4. 安全事件管理</w:t>
          </w:r>
          <w:r>
            <w:tab/>
          </w:r>
          <w:r>
            <w:fldChar w:fldCharType="begin"/>
          </w:r>
          <w:r>
            <w:instrText xml:space="preserve"> PAGEREF _Toc13200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4.5. 关键控制点与测量指标</w:t>
          </w:r>
          <w:r>
            <w:tab/>
          </w:r>
          <w:r>
            <w:fldChar w:fldCharType="begin"/>
          </w:r>
          <w:r>
            <w:instrText xml:space="preserve"> PAGEREF _Toc16109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4.5.1. 关键控制点</w:t>
          </w:r>
          <w:r>
            <w:tab/>
          </w:r>
          <w:r>
            <w:fldChar w:fldCharType="begin"/>
          </w:r>
          <w:r>
            <w:instrText xml:space="preserve"> PAGEREF _Toc25063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4.5.2. 过程测量指标</w:t>
          </w:r>
          <w:r>
            <w:tab/>
          </w:r>
          <w:r>
            <w:fldChar w:fldCharType="begin"/>
          </w:r>
          <w:r>
            <w:instrText xml:space="preserve"> PAGEREF _Toc25079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_Toc15932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_Toc3525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_Toc17681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29910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5018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为规范天津图云智能科技有限公司运维服务过程中的信息安全管理，系统性地识别、评估并处置信息安全风险，确保客户及公司信息的机密性、完整性和可用性，构建稳定可靠的服务环境，特制定本制度。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5224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本制度适用于公司运维部及其它所有参与运维服务的部门与人员，管理范围覆盖服务交付过程中涉及的所有信息资产及相关活动。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1311"/>
      <w:r>
        <w:rPr>
          <w:rFonts w:hint="eastAsia"/>
          <w:lang w:val="en-US" w:eastAsia="zh-CN"/>
        </w:rPr>
        <w:t>、原则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预防为主原则：采取主动措施识别和消除安全隐患，防患于未然。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风险导向原则：所有安全决策和措施应基于风险评估的结果。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全员参与原则：每位员工都有责任和义务维护信息安全。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持续改进原则：定期评审信息安全状况，确保持续有效。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6836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18041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负责信息安全管理的整体规划、实施与维护。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领导并组织资产盘点与风险评估工作。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审批重大安全控制措施与改进计划。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4975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分派的具体安全任务。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负责日常安全监控、事件初步处理与记录。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协助完成安全审计与报告编写。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2785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523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7625"/>
      <w:r>
        <w:rPr>
          <w:rFonts w:hint="eastAsia"/>
        </w:rPr>
        <w:t>信息资产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任何对组织具有价值的信息及相关载体，如硬件、软件、数据、文档等。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1513"/>
      <w:r>
        <w:rPr>
          <w:rFonts w:hint="eastAsia"/>
        </w:rPr>
        <w:t>信息安全事件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导致或可能导致信息的机密性、完整性、可用性遭受破坏的单起或多起事件。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9004"/>
      <w:r>
        <w:rPr>
          <w:rFonts w:hint="eastAsia"/>
        </w:rPr>
        <w:t>风险评估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识别信息资产的风险、评估风险影响并确定处置优先级的过程。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848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2630"/>
      <w:r>
        <w:rPr>
          <w:rFonts w:hint="default"/>
          <w:lang w:val="en-US" w:eastAsia="zh-CN"/>
        </w:rPr>
        <w:t>资产识别与分类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应组织对运维服务相关的所有信息资产进行识别、登记与分类。资产分类应依据《资产分类表》进行，并填写《关键资产风险评估及控制表》，明确资产的责任人、位置、数量等关键属性。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9097"/>
      <w:r>
        <w:rPr>
          <w:rFonts w:hint="default"/>
          <w:lang w:val="en-US" w:eastAsia="zh-CN"/>
        </w:rPr>
        <w:t>风险识别与评估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8767"/>
      <w:r>
        <w:rPr>
          <w:rFonts w:hint="default"/>
          <w:lang w:val="en-US" w:eastAsia="zh-CN"/>
        </w:rPr>
        <w:t>风险识别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应参照《机房环境安全管理规范》等系列安全规范，识别各资产面临的安全威胁与自身弱点。变更管理流程中必须充分考虑信息安全风险。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545"/>
      <w:r>
        <w:rPr>
          <w:rFonts w:hint="default"/>
          <w:lang w:val="en-US" w:eastAsia="zh-CN"/>
        </w:rPr>
        <w:t>风险评估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采用风险值（Risk Value）进行量化评估。风险值由资产重要度（Asset Criticality）与风险发生概率（Risk Probability）相乘得出。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资产重要度判定表如图4-1所示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资产重要度判定表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3552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原值</w:t>
            </w:r>
          </w:p>
        </w:tc>
        <w:tc>
          <w:tcPr>
            <w:tcW w:w="3552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关联的服务重要度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等级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355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firstLine="420" w:rightChars="0" w:firstLineChars="20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较低</w:t>
            </w:r>
          </w:p>
        </w:tc>
        <w:tc>
          <w:tcPr>
            <w:tcW w:w="355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firstLine="420" w:rightChars="0" w:firstLineChars="20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较低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355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firstLine="420" w:rightChars="0" w:firstLineChars="20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较高</w:t>
            </w:r>
          </w:p>
        </w:tc>
        <w:tc>
          <w:tcPr>
            <w:tcW w:w="355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firstLine="420" w:rightChars="0" w:firstLineChars="20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较高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355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firstLine="420" w:rightChars="0" w:firstLineChars="20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风险发生概率判定表如图4-2所示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风险发生概率判定表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564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发生可能性范围</w:t>
            </w:r>
          </w:p>
        </w:tc>
        <w:tc>
          <w:tcPr>
            <w:tcW w:w="564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等级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1%~20%</w:t>
            </w:r>
          </w:p>
        </w:tc>
        <w:tc>
          <w:tcPr>
            <w:tcW w:w="5647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firstLine="420" w:rightChars="0" w:firstLineChars="200"/>
              <w:jc w:val="center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21%~40%</w:t>
            </w:r>
          </w:p>
        </w:tc>
        <w:tc>
          <w:tcPr>
            <w:tcW w:w="5647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firstLine="420" w:rightChars="0" w:firstLineChars="200"/>
              <w:jc w:val="center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41%~60%</w:t>
            </w:r>
          </w:p>
        </w:tc>
        <w:tc>
          <w:tcPr>
            <w:tcW w:w="5647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firstLine="420" w:rightChars="0" w:firstLineChars="200"/>
              <w:jc w:val="center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61%~80%</w:t>
            </w:r>
          </w:p>
        </w:tc>
        <w:tc>
          <w:tcPr>
            <w:tcW w:w="5647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firstLine="420" w:rightChars="0" w:firstLineChars="200"/>
              <w:jc w:val="center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81%~100%</w:t>
            </w:r>
          </w:p>
        </w:tc>
        <w:tc>
          <w:tcPr>
            <w:tcW w:w="5647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firstLine="420" w:rightChars="0" w:firstLineChars="200"/>
              <w:jc w:val="center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t>风险等级</w:t>
      </w:r>
      <w:r>
        <w:rPr>
          <w:rFonts w:hint="default"/>
        </w:rPr>
        <w:t>：计算风险值（1-25），并依据公司设定的可接受风险水平（阈值）确定风险等级。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20" w:name="_Toc31837"/>
      <w:r>
        <w:rPr>
          <w:rFonts w:hint="default"/>
        </w:rPr>
        <w:t>风险处置</w:t>
      </w:r>
      <w:r>
        <w:rPr>
          <w:rFonts w:hint="eastAsia"/>
          <w:lang w:val="en-US" w:eastAsia="zh-CN"/>
        </w:rPr>
        <w:t>策略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对于超过可接受水平的风险，应采取以下一种或多种方式进行处置：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实施控制措施：采用适当的技术或管理措施降低风险。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风险接受：在符合组织政策的前提下，明确接受该风险。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风险规避：通过取消相关活动来避免风险。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风险转移：通过保险或第三方服务转移风险。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处置后需重新评估，确保风险已降至可接受水平。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21" w:name="_Toc13200"/>
      <w:r>
        <w:rPr>
          <w:rFonts w:hint="default"/>
        </w:rPr>
        <w:t>安全事件管理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所有信息安全事件必须通过事件管理流程进行记录、处理和跟踪。信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应定期分析事件数据，编制《信息安全事件统计表》，并据此提出改进措施。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22" w:name="_Toc16109"/>
      <w:r>
        <w:rPr>
          <w:rFonts w:hint="default"/>
        </w:rPr>
        <w:t>关键控制点与测量指标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为确保信息安全管理流程的有效执行和持续改进，特设定以下关键控制点与量化测量指标。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23" w:name="_Toc25063"/>
      <w:r>
        <w:rPr>
          <w:rFonts w:hint="default"/>
        </w:rPr>
        <w:t>关键控制点</w:t>
      </w:r>
      <w:bookmarkEnd w:id="2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所有关键信息资产必须被识别、登记并定期审核。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所有变更必须经过信息安全风险评估。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所有信息安全事件必须被记录、分析并用于持续改进。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24" w:name="_Toc25079"/>
      <w:r>
        <w:rPr>
          <w:rFonts w:hint="default"/>
        </w:rPr>
        <w:t>过程测量指标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信息安全管理考核标准如表4-2所示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37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客户信息泄露的事件次数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年度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≤2次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7424"/>
      <w:bookmarkStart w:id="27" w:name="_Toc15932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3525"/>
      <w:r>
        <w:rPr>
          <w:rFonts w:hint="eastAsia"/>
          <w:lang w:val="en-US" w:eastAsia="zh-CN"/>
        </w:rPr>
        <w:t>附件</w:t>
      </w:r>
      <w:bookmarkEnd w:id="2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《资产分类表》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《关键资产风险评估及控制表》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《信息安全事件统计表》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17681"/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信息安全管理制度运行过程中产生的所有记录，包括但不限于风险评估表、事件统计表、审计报告等，应由运维部统一保存，保存期限不少于3年。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6F270B8"/>
    <w:multiLevelType w:val="singleLevel"/>
    <w:tmpl w:val="A6F270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E59BEF0"/>
    <w:multiLevelType w:val="singleLevel"/>
    <w:tmpl w:val="BE59BEF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4C2FEC3"/>
    <w:multiLevelType w:val="singleLevel"/>
    <w:tmpl w:val="D4C2FE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A0F4E69"/>
    <w:multiLevelType w:val="singleLevel"/>
    <w:tmpl w:val="EA0F4E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67A92D8"/>
    <w:multiLevelType w:val="singleLevel"/>
    <w:tmpl w:val="F67A92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347B199"/>
    <w:multiLevelType w:val="singleLevel"/>
    <w:tmpl w:val="2347B1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1801</Words>
  <Characters>2061</Characters>
  <Application>Microsoft Office Word</Application>
  <DocSecurity>0</DocSecurity>
  <Lines>0</Lines>
  <Paragraphs>0</Paragraphs>
  <ScaleCrop>false</ScaleCrop>
  <Company/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