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39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8829"/>
      <w:r>
        <w:rPr>
          <w:rFonts w:hint="eastAsia"/>
          <w:lang w:val="en-US" w:eastAsia="zh-CN"/>
        </w:rPr>
        <w:t>安徽益联-丰盈云人力资源服务业财一体化管理系统-信息安全管理计划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_Toc29395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安徽益联-丰盈云人力资源服务业财一体化管理系统-信息安全管理计划</w:t>
          </w:r>
          <w:r>
            <w:tab/>
          </w:r>
          <w:r>
            <w:fldChar w:fldCharType="begin"/>
          </w:r>
          <w:r>
            <w:instrText xml:space="preserve"> PAGEREF _Toc18829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_Toc25690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_Toc16630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范围</w:t>
          </w:r>
          <w:r>
            <w:tab/>
          </w:r>
          <w:r>
            <w:fldChar w:fldCharType="begin"/>
          </w:r>
          <w:r>
            <w:instrText xml:space="preserve"> PAGEREF _Toc17993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依据</w:t>
          </w:r>
          <w:r>
            <w:tab/>
          </w:r>
          <w:r>
            <w:fldChar w:fldCharType="begin"/>
          </w:r>
          <w:r>
            <w:instrText xml:space="preserve"> PAGEREF _Toc15944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安全管理目标</w:t>
          </w:r>
          <w:r>
            <w:tab/>
          </w:r>
          <w:r>
            <w:fldChar w:fldCharType="begin"/>
          </w:r>
          <w:r>
            <w:instrText xml:space="preserve"> PAGEREF _Toc29200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_Toc10331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信息安全领导小组</w:t>
          </w:r>
          <w:r>
            <w:tab/>
          </w:r>
          <w:r>
            <w:fldChar w:fldCharType="begin"/>
          </w:r>
          <w:r>
            <w:instrText xml:space="preserve"> PAGEREF _Toc25028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项目实施团队安全职责</w:t>
          </w:r>
          <w:r>
            <w:tab/>
          </w:r>
          <w:r>
            <w:fldChar w:fldCharType="begin"/>
          </w:r>
          <w:r>
            <w:instrText xml:space="preserve"> PAGEREF _Toc27935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安全控制措施</w:t>
          </w:r>
          <w:r>
            <w:tab/>
          </w:r>
          <w:r>
            <w:fldChar w:fldCharType="begin"/>
          </w:r>
          <w:r>
            <w:instrText xml:space="preserve"> PAGEREF _Toc32505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人员安全</w:t>
          </w:r>
          <w:r>
            <w:tab/>
          </w:r>
          <w:r>
            <w:fldChar w:fldCharType="begin"/>
          </w:r>
          <w:r>
            <w:instrText xml:space="preserve"> PAGEREF _Toc23962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物理与环境安全</w:t>
          </w:r>
          <w:r>
            <w:tab/>
          </w:r>
          <w:r>
            <w:fldChar w:fldCharType="begin"/>
          </w:r>
          <w:r>
            <w:instrText xml:space="preserve"> PAGEREF _Toc13660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系统开发与获取安全</w:t>
          </w:r>
          <w:r>
            <w:tab/>
          </w:r>
          <w:r>
            <w:fldChar w:fldCharType="begin"/>
          </w:r>
          <w:r>
            <w:instrText xml:space="preserve"> PAGEREF _Toc663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系统运维与访问控制</w:t>
          </w:r>
          <w:r>
            <w:tab/>
          </w:r>
          <w:r>
            <w:fldChar w:fldCharType="begin"/>
          </w:r>
          <w:r>
            <w:instrText xml:space="preserve"> PAGEREF _Toc20244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_Toc30722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安全事件管理与应急响应</w:t>
          </w:r>
          <w:r>
            <w:tab/>
          </w:r>
          <w:r>
            <w:fldChar w:fldCharType="begin"/>
          </w:r>
          <w:r>
            <w:instrText xml:space="preserve"> PAGEREF _Toc30722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5.1 定义与分类</w:t>
          </w:r>
          <w:r>
            <w:tab/>
          </w:r>
          <w:r>
            <w:fldChar w:fldCharType="begin"/>
          </w:r>
          <w:r>
            <w:instrText xml:space="preserve"> PAGEREF _Toc4406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5.2 响应流程</w:t>
          </w:r>
          <w:r>
            <w:tab/>
          </w:r>
          <w:r>
            <w:fldChar w:fldCharType="begin"/>
          </w:r>
          <w:r>
            <w:instrText xml:space="preserve"> PAGEREF _Toc3087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合规性与审计</w:t>
          </w:r>
          <w:r>
            <w:tab/>
          </w:r>
          <w:r>
            <w:fldChar w:fldCharType="begin"/>
          </w:r>
          <w:r>
            <w:instrText xml:space="preserve"> PAGEREF _Toc209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合规性检查</w:t>
          </w:r>
          <w:r>
            <w:tab/>
          </w:r>
          <w:r>
            <w:fldChar w:fldCharType="begin"/>
          </w:r>
          <w:r>
            <w:instrText xml:space="preserve"> PAGEREF _Toc2198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审计</w:t>
          </w:r>
          <w:r>
            <w:tab/>
          </w:r>
          <w:r>
            <w:fldChar w:fldCharType="begin"/>
          </w:r>
          <w:r>
            <w:instrText xml:space="preserve"> PAGEREF _Toc15705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计划评审与更新</w:t>
          </w:r>
          <w:r>
            <w:tab/>
          </w:r>
          <w:r>
            <w:fldChar w:fldCharType="begin"/>
          </w:r>
          <w:r>
            <w:instrText xml:space="preserve"> PAGEREF _Toc73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5690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6630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“丰盈云人力资源服务业财一体化管理系统”项目（下称“本项目”）在全生命周期（包括设计、开发、测试、部署、运维及废止）中的信息安全，保护甲方（安徽益联科技有限公司）及最终用户的业务数据、个人信息及商业秘密免受泄露、篡改、丢失及未授权访问等风险，并满足国家法律法规、监管要求及合同约定，特制定本信息安全管理计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7993"/>
      <w:r>
        <w:rPr>
          <w:rFonts w:hint="default"/>
          <w:lang w:val="en-US" w:eastAsia="zh-CN"/>
        </w:rPr>
        <w:t>范围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为本项目提供服务的所有乙方（天津图云智能科技有限公司）人员、供应商及合作伙伴。安全管理对象涵盖本项目所涉及的所有信息系统资产，包括但不限于：应用程序、服务器、网络设备、终端、数据（含客户CRM数据、员工个人信息、财务数据等）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技术文档及管理流程。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5944"/>
      <w:r>
        <w:rPr>
          <w:rFonts w:hint="default"/>
          <w:lang w:val="en-US" w:eastAsia="zh-CN"/>
        </w:rPr>
        <w:t>依据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国家标准《信息安全技术 网络安全等级保护基本要求》（GB/T 22239-2019）等相关标准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《信息安全管理制度》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合同中关于服务质量、数据保密及运维服务的要求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公司内部《信息安全管理程序》及相关政策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9200"/>
      <w:r>
        <w:rPr>
          <w:rFonts w:hint="default"/>
          <w:lang w:val="en-US" w:eastAsia="zh-CN"/>
        </w:rPr>
        <w:t>安全管理目标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保密性：确保项目数据（尤其是客户信息、员工个人敏感信息、财务数据）仅在授权范围内访问。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完整性：保障项目数据、系统配置及业务逻辑的准确与完整，防止未授权篡改。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可用性：保障系统在合同约定的服务级别协议（SLA）内（7x24小时）持续稳定运行，故障恢复时间符合合同承诺（48小时内）。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可审计性：所有关键操作和安全事件均有完整、不可抵赖的记录，满足合规审计与故障追溯要求。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合规性：满足信创（信息技术应用创新）国产化适配的安全要求及国家相关法律法规。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0331"/>
      <w:r>
        <w:rPr>
          <w:rFonts w:hint="default"/>
          <w:lang w:val="en-US" w:eastAsia="zh-CN"/>
        </w:rPr>
        <w:t>组织与职责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5028"/>
      <w:r>
        <w:rPr>
          <w:rFonts w:hint="default"/>
          <w:lang w:val="en-US" w:eastAsia="zh-CN"/>
        </w:rPr>
        <w:t>信息安全领导小组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以公司副总为组长，运维相关部门担任组员组成的信息安全小组。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组长：公司副总经理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成员：运维部经理、技术中心经理、质量部经理、综合管理部经理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职责：审批本安全计划，提供资源保障，决策重大安全事项，监督计划执行。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7935"/>
      <w:r>
        <w:rPr>
          <w:rFonts w:hint="default"/>
          <w:lang w:val="en-US" w:eastAsia="zh-CN"/>
        </w:rPr>
        <w:t>项目实施团队安全职责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运维部经理/运维项目经理：作为本项目安全第一责任人，负责安全计划的落地执行、日常安全监控、应急响应协调及安全事件报告。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技术中心：负责系统开发安全（安全编码、漏洞管理）、上线前的安全测试。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运维工程师：负责系统运行环境（服务器、网络、数据库）的安全配置、漏洞修复、备份恢复及安全日志监控。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服务台专员：作为安全事件接收入口，按流程进行初步判断与上报。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服务知识专员：负责安全管理文档、应急方案、漏洞知识的整理与归档。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质量部：负责安全审计、检查计划执行情况，组织内部审核，监督整改闭环。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32505"/>
      <w:r>
        <w:rPr>
          <w:rFonts w:hint="default"/>
          <w:lang w:val="en-US" w:eastAsia="zh-CN"/>
        </w:rPr>
        <w:t>安全控制措施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3962"/>
      <w:r>
        <w:rPr>
          <w:rFonts w:hint="default"/>
          <w:lang w:val="en-US" w:eastAsia="zh-CN"/>
        </w:rPr>
        <w:t>人员安全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背景审查：依据合同</w:t>
      </w:r>
      <w:r>
        <w:rPr>
          <w:rFonts w:hint="eastAsia"/>
          <w:lang w:val="en-US" w:eastAsia="zh-CN"/>
        </w:rPr>
        <w:t>条款中</w:t>
      </w:r>
      <w:r>
        <w:rPr>
          <w:rFonts w:hint="default"/>
          <w:lang w:val="en-US" w:eastAsia="zh-CN"/>
        </w:rPr>
        <w:t>人员要求，对项目核心成员进行必要的背景审查，签署保密协议。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安全培训：所有项目成员必须接受岗前信息安全培训，内容涵盖数据保护、隐私政策、安全操作规程及应急流程，年度复训。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权限最小化：根据岗位说明书和“系统管理”模块权限，实施严格的访问控制，确保用户仅拥有完成工作所必需的最小权限。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3660"/>
      <w:r>
        <w:rPr>
          <w:rFonts w:hint="default"/>
          <w:lang w:val="en-US" w:eastAsia="zh-CN"/>
        </w:rPr>
        <w:t>物理与环境安全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数据中心访问受控，有门禁、监控录像。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关键设备有冗余电源和温湿度控制。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663"/>
      <w:r>
        <w:rPr>
          <w:rFonts w:hint="default"/>
          <w:lang w:val="en-US" w:eastAsia="zh-CN"/>
        </w:rPr>
        <w:t>系统开发与获取安全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安全需求：将安全性作为需求分析的一部分，特别是针对CRM、员工管理、社保、财务管理等敏感模块。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安全编码与测试：遵循安全开发规范，对代码进行安全审查。上线前进行渗透测试与漏洞扫描，修复中高危漏洞。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信创适配安全：根据合同</w:t>
      </w:r>
      <w:r>
        <w:rPr>
          <w:rFonts w:hint="eastAsia"/>
          <w:lang w:val="en-US" w:eastAsia="zh-CN"/>
        </w:rPr>
        <w:t>条款要求</w:t>
      </w:r>
      <w:r>
        <w:rPr>
          <w:rFonts w:hint="default"/>
          <w:lang w:val="en-US" w:eastAsia="zh-CN"/>
        </w:rPr>
        <w:t>，若需进行国产化适配，所选用的国产基础软硬件（CPU、OS、数据库等）需通过安全认证，并进行专项安全兼容性测试。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0244"/>
      <w:r>
        <w:rPr>
          <w:rFonts w:hint="default"/>
          <w:lang w:val="en-US" w:eastAsia="zh-CN"/>
        </w:rPr>
        <w:t>系统运维与访问控制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网络隔离：生产环境与测试/开发环境严格隔离。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身份认证与授权：启用强密码策略，对管理后台、数据库等高权限访问启用双因素认证（2FA）。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漏洞与补丁管理：定期（每月）对系统组件、中间件、操作系统进行漏洞扫描，在评估风险后及时安装安全补丁。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安全监控：</w:t>
      </w:r>
      <w:r>
        <w:rPr>
          <w:rFonts w:hint="eastAsia"/>
          <w:lang w:val="en-US" w:eastAsia="zh-CN"/>
        </w:rPr>
        <w:t>根据合同条款中</w:t>
      </w:r>
      <w:r>
        <w:rPr>
          <w:rFonts w:hint="default"/>
          <w:lang w:val="en-US" w:eastAsia="zh-CN"/>
        </w:rPr>
        <w:t>“系统监控”功能</w:t>
      </w:r>
      <w:r>
        <w:rPr>
          <w:rFonts w:hint="eastAsia"/>
          <w:lang w:val="en-US" w:eastAsia="zh-CN"/>
        </w:rPr>
        <w:t>要求</w:t>
      </w:r>
      <w:r>
        <w:rPr>
          <w:rFonts w:hint="default"/>
          <w:lang w:val="en-US" w:eastAsia="zh-CN"/>
        </w:rPr>
        <w:t>，部署日志审计系统（SIEM），集中收集和分析应用、系统、安全设备日志，监控异常访问和攻击行为。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加密：敏感数据（如身份证号、银行卡号）在存储和传输过程中进行加密。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备份与恢复：</w:t>
      </w:r>
      <w:r>
        <w:rPr>
          <w:rFonts w:hint="eastAsia"/>
          <w:lang w:val="en-US" w:eastAsia="zh-CN"/>
        </w:rPr>
        <w:t>根据合同条款</w:t>
      </w:r>
      <w:r>
        <w:rPr>
          <w:rFonts w:hint="default"/>
          <w:lang w:val="en-US" w:eastAsia="zh-CN"/>
        </w:rPr>
        <w:t>及档案管理要求，执行定期数据备份（包括数据库和文件），并定期测试恢复流程，确保备份有效性。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数据脱敏：测试环境使用脱敏数据。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30722"/>
      <w:r>
        <w:rPr>
          <w:rFonts w:hint="default"/>
          <w:lang w:val="en-US" w:eastAsia="zh-CN"/>
        </w:rPr>
        <w:t>安全事件管理与应急响应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4406"/>
      <w:r>
        <w:rPr>
          <w:rFonts w:hint="default"/>
          <w:lang w:val="en-US" w:eastAsia="zh-CN"/>
        </w:rPr>
        <w:t>5.1 定义与分类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明确信息安全事件分类，如：数据泄露、恶意软件感染、拒绝服务攻击、越权访问等。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3087"/>
      <w:r>
        <w:rPr>
          <w:rFonts w:hint="default"/>
          <w:lang w:val="en-US" w:eastAsia="zh-CN"/>
        </w:rPr>
        <w:t>5.2 响应流程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报告：任何人员发现安全事件，须立即通过服务台报告。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初步处置：运维部经理根据应急预案，协调技术团队进行遏制（如隔离系统、禁用账户）。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调查与根除：查明原因，清除威胁（如删除恶意软件、修补漏洞）。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恢复：从已验证的备份中恢复受影响的系统与数据。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报告与改进：编写事件报告，报质量部备案。进行根本原因分析（RCA），更新安全控制措施和应急预案。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时效承诺：应急响应启动时间不超过1小时，并致力于在合同约定的48小时故障排除时限内解决安全类故障。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209"/>
      <w:r>
        <w:rPr>
          <w:rFonts w:hint="default"/>
          <w:lang w:val="en-US" w:eastAsia="zh-CN"/>
        </w:rPr>
        <w:t>合规性与审计</w:t>
      </w:r>
      <w:bookmarkEnd w:id="19"/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198"/>
      <w:r>
        <w:rPr>
          <w:rFonts w:hint="default"/>
          <w:lang w:val="en-US" w:eastAsia="zh-CN"/>
        </w:rPr>
        <w:t>合规性检查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定期检查系统操作是否符合《个人信息保护法》关于个人信息处理的规定。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确保系统功能变更不违反安全与隐私政策。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5705"/>
      <w:r>
        <w:rPr>
          <w:rFonts w:hint="default"/>
          <w:lang w:val="en-US" w:eastAsia="zh-CN"/>
        </w:rPr>
        <w:t>审计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质量部每季度对项目安全控制措施的执行情况进行一次内部审计，检查范围包括：权限分配、日志审计、备份恢复测试记录、漏洞修复状态等。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审计结果向信息安全领导小组汇报，并跟踪整改直至闭环。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73"/>
      <w:r>
        <w:rPr>
          <w:rFonts w:hint="default"/>
          <w:lang w:val="en-US" w:eastAsia="zh-CN"/>
        </w:rPr>
        <w:t>计划评审与更新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本信息安全计划每年至少评审一次，或在发生重大安全事件、法律法规变更、技术架构重大调整时立即评审更新，以确保其持续适宜性、充分性和有效性。本计划的最新版本将提交甲方备案。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9CB33B"/>
    <w:multiLevelType w:val="singleLevel"/>
    <w:tmpl w:val="CF9CB33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883</Words>
  <Characters>952</Characters>
  <Application>Microsoft Office Word</Application>
  <DocSecurity>0</DocSecurity>
  <Lines>0</Lines>
  <Paragraphs>0</Paragraphs>
  <ScaleCrop>false</ScaleCrop>
  <Company/>
  <LinksUpToDate>false</LinksUpToDate>
  <CharactersWithSpaces>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2026-01-11T17:15:16Z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