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44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7432"/>
      <w:r>
        <w:rPr>
          <w:rFonts w:hint="eastAsia"/>
          <w:lang w:val="en-US" w:eastAsia="zh-CN"/>
        </w:rPr>
        <w:t>安徽益联-丰盈云人力资源服务业财一体化管理系统-服务可用性和连续性管理计划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_Toc18444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安徽益联-丰盈云人力资源服务业财一体化管理系统-服务可用性和连续性管理计划</w:t>
          </w:r>
          <w:r>
            <w:tab/>
          </w:r>
          <w:r>
            <w:fldChar w:fldCharType="begin"/>
          </w:r>
          <w:r>
            <w:instrText xml:space="preserve"> PAGEREF _Toc7432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_Toc6155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_Toc25803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范围</w:t>
          </w:r>
          <w:r>
            <w:tab/>
          </w:r>
          <w:r>
            <w:fldChar w:fldCharType="begin"/>
          </w:r>
          <w:r>
            <w:instrText xml:space="preserve"> PAGEREF _Toc541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依据</w:t>
          </w:r>
          <w:r>
            <w:tab/>
          </w:r>
          <w:r>
            <w:fldChar w:fldCharType="begin"/>
          </w:r>
          <w:r>
            <w:instrText xml:space="preserve"> PAGEREF _Toc10407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管理目标</w:t>
          </w:r>
          <w:r>
            <w:tab/>
          </w:r>
          <w:r>
            <w:fldChar w:fldCharType="begin"/>
          </w:r>
          <w:r>
            <w:instrText xml:space="preserve"> PAGEREF _Toc24062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可用性管理</w:t>
          </w:r>
          <w:r>
            <w:tab/>
          </w:r>
          <w:r>
            <w:fldChar w:fldCharType="begin"/>
          </w:r>
          <w:r>
            <w:instrText xml:space="preserve"> PAGEREF _Toc5578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2.1.1. 可用性目标</w:t>
          </w:r>
          <w:r>
            <w:tab/>
          </w:r>
          <w:r>
            <w:fldChar w:fldCharType="begin"/>
          </w:r>
          <w:r>
            <w:instrText xml:space="preserve"> PAGEREF _Toc12001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2.1.2. 恢复目标</w:t>
          </w:r>
          <w:r>
            <w:tab/>
          </w:r>
          <w:r>
            <w:fldChar w:fldCharType="begin"/>
          </w:r>
          <w:r>
            <w:instrText xml:space="preserve"> PAGEREF _Toc2647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连续性管理</w:t>
          </w:r>
          <w:r>
            <w:tab/>
          </w:r>
          <w:r>
            <w:fldChar w:fldCharType="begin"/>
          </w:r>
          <w:r>
            <w:instrText xml:space="preserve"> PAGEREF _Toc2867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连续性目标</w:t>
          </w:r>
          <w:r>
            <w:tab/>
          </w:r>
          <w:r>
            <w:fldChar w:fldCharType="begin"/>
          </w:r>
          <w:r>
            <w:instrText xml:space="preserve"> PAGEREF _Toc30869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恢复目标</w:t>
          </w:r>
          <w:r>
            <w:tab/>
          </w:r>
          <w:r>
            <w:fldChar w:fldCharType="begin"/>
          </w:r>
          <w:r>
            <w:instrText xml:space="preserve"> PAGEREF _Toc9089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_Toc16561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可用性与连续性管理小组</w:t>
          </w:r>
          <w:r>
            <w:tab/>
          </w:r>
          <w:r>
            <w:fldChar w:fldCharType="begin"/>
          </w:r>
          <w:r>
            <w:instrText xml:space="preserve"> PAGEREF _Toc27061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各角色职责</w:t>
          </w:r>
          <w:r>
            <w:tab/>
          </w:r>
          <w:r>
            <w:fldChar w:fldCharType="begin"/>
          </w:r>
          <w:r>
            <w:instrText xml:space="preserve"> PAGEREF _Toc7582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服务可用性管理</w:t>
          </w:r>
          <w:r>
            <w:tab/>
          </w:r>
          <w:r>
            <w:fldChar w:fldCharType="begin"/>
          </w:r>
          <w:r>
            <w:instrText xml:space="preserve"> PAGEREF _Toc8955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可用性设计</w:t>
          </w:r>
          <w:r>
            <w:tab/>
          </w:r>
          <w:r>
            <w:fldChar w:fldCharType="begin"/>
          </w:r>
          <w:r>
            <w:instrText xml:space="preserve"> PAGEREF _Toc26060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监控与度量</w:t>
          </w:r>
          <w:r>
            <w:tab/>
          </w:r>
          <w:r>
            <w:fldChar w:fldCharType="begin"/>
          </w:r>
          <w:r>
            <w:instrText xml:space="preserve"> PAGEREF _Toc16910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预防性维护</w:t>
          </w:r>
          <w:r>
            <w:tab/>
          </w:r>
          <w:r>
            <w:fldChar w:fldCharType="begin"/>
          </w:r>
          <w:r>
            <w:instrText xml:space="preserve"> PAGEREF _Toc9942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服务连续性管理（业务连续性计划，BCP）</w:t>
          </w:r>
          <w:r>
            <w:tab/>
          </w:r>
          <w:r>
            <w:fldChar w:fldCharType="begin"/>
          </w:r>
          <w:r>
            <w:instrText xml:space="preserve"> PAGEREF _Toc5317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_Toc6995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5.1 业务影响分析 (BIA)</w:t>
          </w:r>
          <w:r>
            <w:tab/>
          </w:r>
          <w:r>
            <w:fldChar w:fldCharType="begin"/>
          </w:r>
          <w:r>
            <w:instrText xml:space="preserve"> PAGEREF _Toc6995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恢复策略</w:t>
          </w:r>
          <w:r>
            <w:tab/>
          </w:r>
          <w:r>
            <w:fldChar w:fldCharType="begin"/>
          </w:r>
          <w:r>
            <w:instrText xml:space="preserve"> PAGEREF _Toc26379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应急预案</w:t>
          </w:r>
          <w:r>
            <w:tab/>
          </w:r>
          <w:r>
            <w:fldChar w:fldCharType="begin"/>
          </w:r>
          <w:r>
            <w:instrText xml:space="preserve"> PAGEREF _Toc13417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演练、测试与评审</w:t>
          </w:r>
          <w:r>
            <w:tab/>
          </w:r>
          <w:r>
            <w:fldChar w:fldCharType="begin"/>
          </w:r>
          <w:r>
            <w:instrText xml:space="preserve"> PAGEREF _Toc3763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演练计划</w:t>
          </w:r>
          <w:r>
            <w:tab/>
          </w:r>
          <w:r>
            <w:fldChar w:fldCharType="begin"/>
          </w:r>
          <w:r>
            <w:instrText xml:space="preserve"> PAGEREF _Toc31963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计划评审与更新</w:t>
          </w:r>
          <w:r>
            <w:tab/>
          </w:r>
          <w:r>
            <w:fldChar w:fldCharType="begin"/>
          </w:r>
          <w:r>
            <w:instrText xml:space="preserve"> PAGEREF _Toc11968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沟通与报告</w:t>
          </w:r>
          <w:r>
            <w:tab/>
          </w:r>
          <w:r>
            <w:fldChar w:fldCharType="begin"/>
          </w:r>
          <w:r>
            <w:instrText xml:space="preserve"> PAGEREF _Toc2472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6155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5803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“丰盈云人力资源服务业财一体化管理系统”项目（下称“本服务”）能够持续、稳定地满足合同约定的服务级别，并能在发生重大中断事件时，有计划、有组织地恢复服务至可接受水平，最大程度降低对甲方业务运营的影响，特制定本服务可用性与连续性管理计划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541"/>
      <w:r>
        <w:rPr>
          <w:rFonts w:hint="default"/>
          <w:lang w:val="en-US" w:eastAsia="zh-CN"/>
        </w:rPr>
        <w:t>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本计划涵盖支持本服务运行的所有关键性技术组件（应用、数据库、中间件、服务器、网络、存储）及必要的运维支持活动。管理范围贯穿服务的日常运营与灾难恢复场景。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0407"/>
      <w:r>
        <w:rPr>
          <w:rFonts w:hint="default"/>
          <w:lang w:val="en-US" w:eastAsia="zh-CN"/>
        </w:rPr>
        <w:t>依据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项目合同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国家标准GB/T 28827.3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公司内部《服务可用性与连续性管理程序》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4062"/>
      <w:r>
        <w:rPr>
          <w:rFonts w:hint="default"/>
          <w:lang w:val="en-US" w:eastAsia="zh-CN"/>
        </w:rPr>
        <w:t>管理目标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5578"/>
      <w:r>
        <w:rPr>
          <w:rFonts w:hint="eastAsia"/>
          <w:lang w:val="en-US" w:eastAsia="zh-CN"/>
        </w:rPr>
        <w:t>可用性管理</w:t>
      </w:r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2001"/>
      <w:r>
        <w:rPr>
          <w:rFonts w:hint="default"/>
          <w:lang w:val="en-US" w:eastAsia="zh-CN"/>
        </w:rPr>
        <w:t>可用性目标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确保核心业务功能（CRM、员工管理、结算、财务模块）的</w:t>
      </w:r>
      <w:r>
        <w:rPr>
          <w:rFonts w:hint="eastAsia"/>
          <w:lang w:val="en-US" w:eastAsia="zh-CN"/>
        </w:rPr>
        <w:t>月度关键服务</w:t>
      </w:r>
      <w:r>
        <w:rPr>
          <w:rFonts w:hint="default"/>
          <w:lang w:val="en-US" w:eastAsia="zh-CN"/>
        </w:rPr>
        <w:t>可用</w:t>
      </w:r>
      <w:r>
        <w:rPr>
          <w:rFonts w:hint="eastAsia"/>
          <w:lang w:val="en-US" w:eastAsia="zh-CN"/>
        </w:rPr>
        <w:t>率</w:t>
      </w:r>
      <w:r>
        <w:rPr>
          <w:rFonts w:hint="default"/>
          <w:lang w:val="en-US" w:eastAsia="zh-CN"/>
        </w:rPr>
        <w:t>不低于99%。严格遵守合同承诺的7天×24小时服务可访问性。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647"/>
      <w:r>
        <w:rPr>
          <w:rFonts w:hint="default"/>
          <w:lang w:val="en-US" w:eastAsia="zh-CN"/>
        </w:rPr>
        <w:t>恢复目标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服务恢复时间目标 (RTO)：对于重大服务中断，通过高可用架构或应急措施，确保核心业务在 4小时 内恢复基本功能。全力满足合同约定的 48小时 内排除故障的总体要求。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数据恢复点目标 (RPO)：通过定期备份与数据复制技术，确保核心业务数据丢失不超过 1小时。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867"/>
      <w:r>
        <w:rPr>
          <w:rFonts w:hint="eastAsia"/>
          <w:lang w:val="en-US" w:eastAsia="zh-CN"/>
        </w:rPr>
        <w:t>连续性管理</w:t>
      </w:r>
      <w:bookmarkEnd w:id="1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0869"/>
      <w:r>
        <w:rPr>
          <w:rFonts w:hint="default"/>
          <w:lang w:val="en-US" w:eastAsia="zh-CN"/>
        </w:rPr>
        <w:t>连续性目标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建立并维护有效的业务连续性预案，</w:t>
      </w:r>
      <w:r>
        <w:rPr>
          <w:rFonts w:hint="eastAsia"/>
          <w:lang w:val="en-US" w:eastAsia="zh-CN"/>
        </w:rPr>
        <w:t>保证月度服务中断次数不超过1次</w:t>
      </w:r>
      <w:r>
        <w:rPr>
          <w:rFonts w:hint="default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9089"/>
      <w:r>
        <w:rPr>
          <w:rFonts w:hint="eastAsia"/>
          <w:lang w:val="en-US" w:eastAsia="zh-CN"/>
        </w:rPr>
        <w:t>恢复目标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业务连续性恢复时间目标 (BCP RTO)：在发生需启用备用站点的灾难事件后，根据业务影响分析确定的优先级，在 24小时 内恢复所有关键业务功能的运营能力。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业务连续性数据恢复点目标 (BCP RPO)：通过异地数据备份与复制机制，确保在灾难发生时，核心业务数据损失不超过 24小时。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6561"/>
      <w:r>
        <w:rPr>
          <w:rFonts w:hint="default"/>
          <w:lang w:val="en-US" w:eastAsia="zh-CN"/>
        </w:rPr>
        <w:t>组织与职责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7061"/>
      <w:r>
        <w:rPr>
          <w:rFonts w:hint="default"/>
          <w:lang w:val="en-US" w:eastAsia="zh-CN"/>
        </w:rPr>
        <w:t>可用性与连续性管理小组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成立可用性和连续性管理小组，由运维部经理担任组长，其他运维相关部门经理担任核心成员。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组长：运维部经理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核心成员：运维项目经理、技术中心经理、采购部经理、质量部经理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职责：审批本计划及后续变更；决策重大资源投入；宣布启动业务连续性预案；监督演练与复盘。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7582"/>
      <w:r>
        <w:rPr>
          <w:rFonts w:hint="default"/>
          <w:lang w:val="en-US" w:eastAsia="zh-CN"/>
        </w:rPr>
        <w:t>各角色职责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运维部经理：总体负责服务可用性监控、容量规划及连续性计划的执行。是应急响应的总协调人。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运维项目经理：负责与甲方沟通SLA达成情况，管理日常服务请求与事件，确保符合合同交付规范。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运维工程师：负责具体技术组件的监控、日常维护、故障排查、备份执行及恢复操作。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技术中心：负责应用层的高可用设计、性能优化、故障根因代码修复及版本紧急发布支持。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采购部/备品备件管理员：确保关键备品备件（如服务器硬盘、网络模块）的库存充足，满足应急更换需求。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质量部：定期审计可用性数据与连续性计划的有效性，组织桌面推演与实战演练，并出具报告。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8955"/>
      <w:r>
        <w:rPr>
          <w:rFonts w:hint="default"/>
          <w:lang w:val="en-US" w:eastAsia="zh-CN"/>
        </w:rPr>
        <w:t>服务可用性管理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6060"/>
      <w:r>
        <w:rPr>
          <w:rFonts w:hint="default"/>
          <w:lang w:val="en-US" w:eastAsia="zh-CN"/>
        </w:rPr>
        <w:t>可用性设计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架构高可用：核心数据库采用主从复制或集群架构。应用服务器采用负载均衡集群部署，避免单点故障。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冗余设计：关键网络链路、电源采用冗余配置。云服务商选择具备多可用区（AZ）能力的供应商。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6910"/>
      <w:r>
        <w:rPr>
          <w:rFonts w:hint="default"/>
          <w:lang w:val="en-US" w:eastAsia="zh-CN"/>
        </w:rPr>
        <w:t>监控与度量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监控对象：对应用服务端口、关键业务接口响应时间、服务器资源（CPU、内存、磁盘、网络）利用率、数据库连接数等进行7x24小时监控。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SLA度量：基于监控数据，每月自动生成《服务可用性报告》，计算各核心模块及整体可用性百分比，与合同目标进行比对分析。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容量监控：定期分析资源使用趋势，预测未来3-6个月的容量需求，提前启动扩容流程。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9942"/>
      <w:r>
        <w:rPr>
          <w:rFonts w:hint="default"/>
          <w:lang w:val="en-US" w:eastAsia="zh-CN"/>
        </w:rPr>
        <w:t>预防性维护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建立并执行定期健康检查清单，包括日志清理、索引优化、配置核查等。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所有计划内维护（如系统升级、硬件更换）必须提前至少3个工作日 通知甲方，并安排在业务低峰期进行。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5317"/>
      <w:r>
        <w:rPr>
          <w:rFonts w:hint="default"/>
          <w:lang w:val="en-US" w:eastAsia="zh-CN"/>
        </w:rPr>
        <w:t>服务连续性管理（业务连续性计划，BCP）</w:t>
      </w:r>
      <w:bookmarkEnd w:id="2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6995"/>
      <w:r>
        <w:rPr>
          <w:rFonts w:hint="default"/>
          <w:lang w:val="en-US" w:eastAsia="zh-CN"/>
        </w:rPr>
        <w:t>5.1 业务影响分析 (BIA)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识别本服务中断对甲方业务造成的财务、运营、声誉影响。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确定本服务的 关键恢复优先级：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核心数据库与用户认证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员工管理与社保申报接口；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结算与财务模块；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CRM模块。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6379"/>
      <w:r>
        <w:rPr>
          <w:rFonts w:hint="default"/>
          <w:lang w:val="en-US" w:eastAsia="zh-CN"/>
        </w:rPr>
        <w:t>恢复策略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数据备份策略：执行“完全备份（每周）+增量备份（每日）”策略，备份数据异地（跨机房或跨云区域）保存至少30天。定期（每季度）进行备份恢复测试。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基础设施恢复：与云服务商签订协议，确保能在备用可用区快速启动预配置的虚拟机镜像。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人员与联络：明确危机管理小组及其替补人员，维护紧急情况下甲方、供应商、内部团队的关键联系人清单。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3417"/>
      <w:r>
        <w:rPr>
          <w:rFonts w:hint="default"/>
          <w:lang w:val="en-US" w:eastAsia="zh-CN"/>
        </w:rPr>
        <w:t>应急预案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针对不同中断场景（如单服务器故障、数据库宕机、机房级灾难、大规模网络攻击）制定分级应急预案。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预案内容须包括：触发条件、应急指挥流程、具体恢复步骤、所需资源、沟通计划。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763"/>
      <w:r>
        <w:rPr>
          <w:rFonts w:hint="default"/>
          <w:lang w:val="en-US" w:eastAsia="zh-CN"/>
        </w:rPr>
        <w:t>演练、测试与评审</w:t>
      </w:r>
      <w:bookmarkEnd w:id="2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1963"/>
      <w:r>
        <w:rPr>
          <w:rFonts w:hint="default"/>
          <w:lang w:val="en-US" w:eastAsia="zh-CN"/>
        </w:rPr>
        <w:t>演练计划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桌面推演：每半年进行一次，针对某一中断场景，由管理小组和核心成员讨论决策与协调流程。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模拟切换测试：每年至少进行一次，在不影响生产环境的前提下，测试从备份恢复数据库或在备用环境启动部分非核心服务的能力。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演练目标：验证应急预案的可行性、团队响应速度及沟通有效性。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1968"/>
      <w:r>
        <w:rPr>
          <w:rFonts w:hint="default"/>
          <w:lang w:val="en-US" w:eastAsia="zh-CN"/>
        </w:rPr>
        <w:t>计划评审与更新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本计划应每年至少进行一次正式评审。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在发生以下情况时，必须立即触发评审与更新：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实际发生重大服务中断事件后。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甲方业务需求或合同SLA发生重大变更。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本服务的技术架构进行重大调整。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年度演练结束后，基于演练结果进行优化。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472"/>
      <w:r>
        <w:rPr>
          <w:rFonts w:hint="default"/>
          <w:lang w:val="en-US" w:eastAsia="zh-CN"/>
        </w:rPr>
        <w:t>沟通与报告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定期向甲方提供包含可用性指标、重大事件摘要及改进措施的《服务报告》。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发生导致SLA可能无法达成的重大或潜在中断时，立即启动升级沟通流程，按合同约定及内部程序通知甲方指定联系人及公司管理层。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所有连续性演练及实际应急响应结束后，均需编写复盘报告，归档并提交质量部审核。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23D5CF"/>
    <w:multiLevelType w:val="singleLevel"/>
    <w:tmpl w:val="9923D5C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4183C7E"/>
    <w:multiLevelType w:val="singleLevel"/>
    <w:tmpl w:val="D4183C7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3ACF84"/>
    <w:multiLevelType w:val="singleLevel"/>
    <w:tmpl w:val="DA3ACF8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1638</Words>
  <Characters>1725</Characters>
  <Application>Microsoft Office Word</Application>
  <DocSecurity>0</DocSecurity>
  <Lines>0</Lines>
  <Paragraphs>0</Paragraphs>
  <ScaleCrop>false</ScaleCrop>
  <Company/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2026-01-11T17:52:29Z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