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64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305"/>
      <w:r>
        <w:rPr>
          <w:rFonts w:hint="eastAsia"/>
          <w:lang w:val="en-US" w:eastAsia="zh-CN"/>
        </w:rPr>
        <w:t>过程框架</w:t>
      </w:r>
      <w:bookmarkEnd w:id="1"/>
      <w:r>
        <w:rPr>
          <w:rFonts w:hint="eastAsia"/>
          <w:lang w:val="en-US" w:eastAsia="zh-CN"/>
        </w:rPr>
        <w:t>需求分析报告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_Toc16647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_Toc20446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eastAsia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过程框架</w:t>
          </w:r>
          <w:r>
            <w:tab/>
          </w:r>
          <w:r>
            <w:fldChar w:fldCharType="begin"/>
          </w:r>
          <w:r>
            <w:instrText xml:space="preserve"> PAGEREF _Toc10480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过程资产库</w:t>
          </w:r>
          <w:r>
            <w:tab/>
          </w:r>
          <w:r>
            <w:fldChar w:fldCharType="begin"/>
          </w:r>
          <w:r>
            <w:instrText xml:space="preserve"> PAGEREF _Toc3380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过程KPI（关键绩效指标）</w:t>
          </w:r>
          <w:r>
            <w:tab/>
          </w:r>
          <w:r>
            <w:fldChar w:fldCharType="begin"/>
          </w:r>
          <w:r>
            <w:instrText xml:space="preserve"> PAGEREF _Toc4993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过程框架的构成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战略与治理过程</w:t>
          </w:r>
          <w:r>
            <w:tab/>
          </w:r>
          <w:r>
            <w:fldChar w:fldCharType="begin"/>
          </w:r>
          <w:r>
            <w:instrText xml:space="preserve"> PAGEREF _Toc16383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核心交付与运营过程</w:t>
          </w:r>
          <w:r>
            <w:tab/>
          </w:r>
          <w:r>
            <w:fldChar w:fldCharType="begin"/>
          </w:r>
          <w:r>
            <w:instrText xml:space="preserve"> PAGEREF _Toc21569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rPr>
              <w:rFonts w:hint="eastAsia"/>
            </w:rPr>
            <w:t>支持保障过程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rPr>
              <w:rFonts w:hint="eastAsia"/>
            </w:rPr>
            <w:t>测量与改进过程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过程间关系与接口管理</w:t>
          </w:r>
          <w:r>
            <w:tab/>
          </w:r>
          <w:r>
            <w:fldChar w:fldCharType="begin"/>
          </w:r>
          <w:r>
            <w:instrText xml:space="preserve"> PAGEREF _Toc21502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过程交互机制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跨部门协作机制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过程的建立与变更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新过程建立流程</w:t>
          </w:r>
          <w:r>
            <w:tab/>
          </w:r>
          <w:r>
            <w:fldChar w:fldCharType="begin"/>
          </w:r>
          <w:r>
            <w:instrText xml:space="preserve"> PAGEREF _Toc29408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过程变更管理</w:t>
          </w:r>
          <w:r>
            <w:tab/>
          </w:r>
          <w:r>
            <w:fldChar w:fldCharType="begin"/>
          </w:r>
          <w:r>
            <w:instrText xml:space="preserve"> PAGEREF _Toc7930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过程的评审与改进</w:t>
          </w:r>
          <w:r>
            <w:tab/>
          </w:r>
          <w:r>
            <w:fldChar w:fldCharType="begin"/>
          </w:r>
          <w:r>
            <w:instrText xml:space="preserve"> PAGEREF _Toc25820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过程执行要求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过程监督机制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过程的监控与测量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>
      <w:pPr>
        <w:pStyle w:val="a1"/>
        <w:bidi w:val="0"/>
      </w:pPr>
      <w:r>
        <w:t>为进一步明确服务过程所涉及的运维服务管理要求，运维部与人力资源、技术、质量、市场等相关方开展了多轮调研与沟通，在充分收集并整合各方意见的基础上，形成本文件，用以指导后续过程框架的设计与优化，确保其全面贴合运维服务各相关方的实际需求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具体内容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涵盖公司相关产品及支持软件，从客户运维服务需求受理、方案提供、服务级别协议（SLA）签订到SLA实施与监控的全生命周期管理。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确保所管理的服务与组织级服务目录保持一致，新增或变更的服务需经相关方评估后方可发布。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明确管理流程及各角色在流程中的职责。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通过工具化手段确保SLA有效落地，实时掌握SLA达成情况，并能及时处理异常。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" w:name="_GoBack"/>
      <w:bookmarkEnd w:id="2"/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管理运维项目中产生的各类服务报告，包括但不限于各类技术方案、阶段性总结报告、验收汇报等文档。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确保输出的各类文件材料符合质量要求、公司业务布局以及客户的实际需求。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对客户日常的服务请求、技术咨询、技术支持等各类服务需求进行管控，并依据SLA约定提供服务。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确保事件能在最短时间内得到解决，满足公司与客户约定的SLA要求。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包括重复发生的事件、影响范围重大的事件以及产品缺陷等。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从根本上识别和消除导致事件发生的潜在原因，防止故障复发，从而提升系统的可用性、连续性及容量保障能力。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管理客户业务系统生产环境的所有变更。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从业务和技术两个维度对变更进行评估与审批，最大程度降低变更对生产环境稳定性的影响。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管理软件导入生产环境的全过程。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确保只有经过正确测试与验证的软件才能被部署到实际运行环境，保障发布过程的安全可靠。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涵盖客户业务系统生产环境中的应用软件配置项。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确保所有配置项及其相互关系得到及时、准确的记录与维护，从而真实反映生产环境的实时状态。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可用性和连续性管理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针对客户业务因系统故障、不可抗力等因素可能发生的中断风险进行管理。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建立符合成本效益且能实现业务快速恢复的管理措施，在业务发生中断或遭遇重大灾害时，最大程度降低客户损失。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rPr>
          <w:rFonts w:hint="default"/>
          <w:lang w:val="en-US" w:eastAsia="zh-CN"/>
        </w:rPr>
      </w:pPr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649"/>
        <w:gridCol w:w="1316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649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316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264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1316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264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316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管理客户业务系统的容量规划与性能。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识别并消除容量风险，确保所提供的服务能满足SLA约定，并保障客户业务系统性能满足业务发展需求。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2733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232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针对运维服务全过程相关的信息安全活动。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通过规范的管理，识别、评估并合理应对运维服务中的各类信息安全风险，降低其可能造成的影响。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328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>
            <w:pPr>
              <w:pStyle w:val="TableText"/>
              <w:spacing w:before="205" w:line="220" w:lineRule="auto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>
            <w:pPr>
              <w:pStyle w:val="TableText"/>
              <w:spacing w:before="205" w:line="220" w:lineRule="auto"/>
              <w:ind w:left="321" w:leftChars="0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436" w:leftChars="0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2733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232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及其他相关部门。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364</Words>
  <Characters>539</Characters>
  <Application>Microsoft Office Word</Application>
  <DocSecurity>0</DocSecurity>
  <Lines>0</Lines>
  <Paragraphs>0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2026-01-15T08:17:29Z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