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89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4058"/>
      <w:r>
        <w:rPr>
          <w:rFonts w:hint="eastAsia"/>
          <w:lang w:val="en-US" w:eastAsia="zh-CN"/>
        </w:rPr>
        <w:t>2025年1-12月运维服务技术研发报告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.30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_Toc31895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2025年1-12月运维服务技术研发报告</w:t>
          </w:r>
          <w:r>
            <w:tab/>
          </w:r>
          <w:r>
            <w:fldChar w:fldCharType="begin"/>
          </w:r>
          <w:r>
            <w:instrText xml:space="preserve"> PAGEREF _Toc14058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_Toc23949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_Toc28096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_Toc25094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</w:t>
          </w:r>
          <w:r>
            <w:rPr>
              <w:rFonts w:hint="eastAsia"/>
              <w:lang w:val="en-US" w:eastAsia="zh-CN"/>
            </w:rPr>
            <w:t>成果</w:t>
          </w:r>
          <w:r>
            <w:tab/>
          </w:r>
          <w:r>
            <w:fldChar w:fldCharType="begin"/>
          </w:r>
          <w:r>
            <w:instrText xml:space="preserve"> PAGEREF _Toc17156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3.1.1. 关键成效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成果描述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工作流首页</w:t>
          </w:r>
          <w:r>
            <w:tab/>
          </w:r>
          <w:r>
            <w:fldChar w:fldCharType="begin"/>
          </w:r>
          <w:r>
            <w:instrText xml:space="preserve"> PAGEREF _Toc10856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新增审批流</w:t>
          </w:r>
          <w:r>
            <w:tab/>
          </w:r>
          <w:r>
            <w:fldChar w:fldCharType="begin"/>
          </w:r>
          <w:r>
            <w:instrText xml:space="preserve"> PAGEREF _Toc12091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设计审批流</w:t>
          </w:r>
          <w:r>
            <w:tab/>
          </w:r>
          <w:r>
            <w:fldChar w:fldCharType="begin"/>
          </w:r>
          <w:r>
            <w:instrText xml:space="preserve"> PAGEREF _Toc19912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3.2.4. </w:t>
          </w:r>
          <w:r>
            <w:rPr>
              <w:rFonts w:hint="eastAsia"/>
              <w:lang w:val="en-US" w:eastAsia="zh-CN"/>
            </w:rPr>
            <w:t>项目评审</w:t>
          </w:r>
          <w:r>
            <w:tab/>
          </w:r>
          <w:r>
            <w:fldChar w:fldCharType="begin"/>
          </w:r>
          <w:r>
            <w:instrText xml:space="preserve"> PAGEREF _Toc30209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3.2.5. </w:t>
          </w:r>
          <w:r>
            <w:rPr>
              <w:rFonts w:hint="eastAsia"/>
              <w:lang w:val="en-US" w:eastAsia="zh-CN"/>
            </w:rPr>
            <w:t>评审进度</w:t>
          </w:r>
          <w:r>
            <w:tab/>
          </w:r>
          <w:r>
            <w:fldChar w:fldCharType="begin"/>
          </w:r>
          <w:r>
            <w:instrText xml:space="preserve"> PAGEREF _Toc4332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研发团队</w:t>
          </w:r>
          <w:r>
            <w:tab/>
          </w:r>
          <w:r>
            <w:fldChar w:fldCharType="begin"/>
          </w:r>
          <w:r>
            <w:instrText xml:space="preserve"> PAGEREF _Toc26584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_Toc15134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_Toc27395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_Toc16182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3949"/>
      <w:r>
        <w:rPr>
          <w:rFonts w:hint="default"/>
          <w:lang w:val="en-US" w:eastAsia="zh-CN"/>
        </w:rPr>
        <w:t>概述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服务能力成熟度（ITSS三级）的认证与持续提升，我公司于2025年启动了以“禅道过程管理工具二次开发”为核心的运维研发技术规划。项目旨在通过构建统一的过程管理平台与配套知识体系，解决流程线下执行不透明、协作效率低、过程数据难统计的痛点，并布局未来技术竞争力。目前，项目已按计划完成全部研发与部署工作，达成预期目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8096"/>
      <w:r>
        <w:rPr>
          <w:rFonts w:hint="default"/>
          <w:lang w:val="en-US" w:eastAsia="zh-CN"/>
        </w:rPr>
        <w:t>总体规划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5094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7156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成果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基于禅道系统定制开发的审批流引擎已稳定运行，实现了与公司管理制度完全匹配的电子审批流程。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7" w:name="_Toc8524"/>
      <w:r>
        <w:rPr>
          <w:rFonts w:hint="default"/>
          <w:lang w:val="en-US" w:eastAsia="zh-CN"/>
        </w:rPr>
        <w:t>关键成效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审批路径强制固化：成功将“变更管理”、“资源申请”等关键审批流程在系统中固化为唯一执行路径，确保了所有操作必经规定审批环节，从技术上杜绝了越权与违规操作。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流转过程自动驱动：实现了任务在提交、驳回后的自动流转，系统能精准推送待办事项至下一审批人，平均审批等待时间缩短约70%。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权限与视图精准管控：根据不同审批环节，精确设定了审批人的操作权限（如通过、驳回、加签）与数据视图，确保了审批过程的权责对等与信息安全。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全过程数据记录：系统完整记录了每一次审批的经办人、时间节点、审批意见与最终结论，形成了不可篡改的审计线索，实现了100%的审批记录可追溯。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4764"/>
      <w:r>
        <w:rPr>
          <w:rFonts w:hint="default"/>
          <w:lang w:val="en-US" w:eastAsia="zh-CN"/>
        </w:rPr>
        <w:t>成果描述</w:t>
      </w:r>
      <w:bookmarkEnd w:id="8"/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0856"/>
      <w:r>
        <w:rPr>
          <w:rFonts w:hint="eastAsia"/>
          <w:lang w:val="en-US" w:eastAsia="zh-CN"/>
        </w:rPr>
        <w:t>工作流首页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工作流导航栏可进入审批流，可以分别设置审批流和审批角色，如图3-1所示。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首页导航栏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407160"/>
            <wp:effectExtent l="0" t="0" r="6985" b="2540"/>
            <wp:docPr id="3" name="图片 3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12091"/>
      <w:r>
        <w:rPr>
          <w:rFonts w:hint="eastAsia"/>
          <w:lang w:val="en-US" w:eastAsia="zh-CN"/>
        </w:rPr>
        <w:t>新增审批流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进入到审批页面后，可以通过创建审批流按钮来新增审批流程，如图3-2所示。也可以修改已经创建的审批流。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新增审批流</w:t>
      </w:r>
    </w:p>
    <w:p>
      <w:pPr>
        <w:pStyle w:val="a1"/>
      </w:pPr>
      <w:r>
        <w:drawing>
          <wp:inline distT="0" distB="0" distL="114300" distR="114300">
            <wp:extent cx="4742815" cy="295783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在新增审批流时，必须要填写审批流名称，完善功能，使得可以绑定工作流，如图3-3所示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填写审批流信息</w:t>
      </w:r>
    </w:p>
    <w:p>
      <w:pPr>
        <w:pStyle w:val="a1"/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4261485" cy="2675890"/>
            <wp:effectExtent l="0" t="0" r="571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审批流列表，可以查看更新增的审批流，如图3-4所示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审批流列表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76960"/>
            <wp:effectExtent l="0" t="0" r="8890" b="8890"/>
            <wp:docPr id="7" name="图片 7" descr="审批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审批流列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19912"/>
      <w:r>
        <w:rPr>
          <w:rFonts w:hint="eastAsia"/>
          <w:lang w:val="en-US" w:eastAsia="zh-CN"/>
        </w:rPr>
        <w:t>设计审批流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完善审批流节点，审批流各个节点支持自定义设计，如图3-5为抄送人设置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审批抄送人选择</w:t>
      </w:r>
    </w:p>
    <w:p>
      <w:pPr>
        <w:pStyle w:val="a1"/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2456180" cy="2209165"/>
            <wp:effectExtent l="0" t="0" r="127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p>
      <w:pPr>
        <w:pStyle w:val="a1"/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5264150" cy="1304925"/>
            <wp:effectExtent l="0" t="0" r="1270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ind w:left="0" w:right="0" w:firstLine="0" w:leftChars="0" w:rightChars="0" w:firstLineChars="0"/>
        <w:jc w:val="center"/>
      </w:pP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如果默认节点不符合现有流程，可以通过自定义节点对审批流程进行完善，如图3-6为审批节点设置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其中包括标题、审批类型、审批人、操作权限等基础信息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审批流节点设置</w:t>
      </w:r>
    </w:p>
    <w:p>
      <w:pPr>
        <w:pStyle w:val="a1"/>
        <w:bidi w:val="0"/>
      </w:pPr>
      <w:r>
        <w:drawing>
          <wp:inline distT="0" distB="0" distL="114300" distR="114300">
            <wp:extent cx="5265420" cy="1840865"/>
            <wp:effectExtent l="0" t="0" r="1143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2" w:name="_Toc30209"/>
      <w:r>
        <w:rPr>
          <w:rFonts w:hint="eastAsia"/>
          <w:lang w:val="en-US" w:eastAsia="zh-CN"/>
        </w:rPr>
        <w:t>项目评审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完善项目评审流程，可以对项目节点单独进行评审，如图3-7所示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项目节点评审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555875"/>
            <wp:effectExtent l="0" t="0" r="6985" b="158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3" w:name="_Toc4332"/>
      <w:r>
        <w:rPr>
          <w:rFonts w:hint="eastAsia"/>
          <w:lang w:val="en-US" w:eastAsia="zh-CN"/>
        </w:rPr>
        <w:t>评审进度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支持项目节点评审进度查看，如图3-8所示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项目评审进度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2009775"/>
            <wp:effectExtent l="0" t="0" r="9525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5835" cy="2887345"/>
            <wp:effectExtent l="0" t="0" r="5715" b="8255"/>
            <wp:docPr id="14" name="图片 14" descr="审批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审批流程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待评审列表可以用于查看所有待我审批的工作流，支持权限控制，如图3-9所示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待评审列表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631950"/>
            <wp:effectExtent l="0" t="0" r="7620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6584"/>
      <w:r>
        <w:rPr>
          <w:rFonts w:hint="default"/>
          <w:lang w:val="en-US" w:eastAsia="zh-CN"/>
        </w:rPr>
        <w:t>研发团队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公司实际情况，为保质保量的完成运维工具研发工作，根据研发计划配置人员如下：技术中心3人，其中技术中心经理1名，开发工程师1名，需求分析师1名，质量部经理1名，运维项目经理1名，各岗及时到位，为研发工作的有序开展提供了有力保障。运维工具研发团队人员配置信息如表3-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TableGrid"/>
        <w:tblW w:w="8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746"/>
        <w:gridCol w:w="4948"/>
      </w:tblGrid>
      <w:tr>
        <w:tblPrEx>
          <w:tblW w:w="86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技术中心经理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5" w:name="_Toc1208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根据研发计划，按时、到位完成开发环境与生产环境部署。各环境完成情况如表3-2所示。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环境需求到位表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024"/>
        <w:gridCol w:w="1650"/>
        <w:gridCol w:w="2037"/>
        <w:gridCol w:w="2037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完成时间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开源、可用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6" w:name="_Toc16154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研发进度表</w:t>
      </w:r>
    </w:p>
    <w:tbl>
      <w:tblPr>
        <w:tblStyle w:val="TableGrid"/>
        <w:tblW w:w="7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271"/>
        <w:gridCol w:w="2912"/>
        <w:gridCol w:w="2059"/>
      </w:tblGrid>
      <w:tr>
        <w:tblPrEx>
          <w:tblW w:w="766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0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技术中心对系统进行完售后正式上线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15134"/>
      <w:r>
        <w:rPr>
          <w:rFonts w:hint="eastAsia"/>
          <w:lang w:val="en-US" w:eastAsia="zh-CN"/>
        </w:rPr>
        <w:t>运维服务手册研发成果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本次规划的手册研发任务已全部按期完成。我们成功编撰并发布了三个核心领域的标准化手册，形成了公司第一代运维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知识的骨干内容。这些手册已正式投入日常使用，并在团队培训与技术实践中发挥了重要作用。</w:t>
      </w:r>
      <w:r>
        <w:rPr>
          <w:rFonts w:hint="eastAsia"/>
          <w:lang w:val="en-US" w:eastAsia="zh-CN"/>
        </w:rPr>
        <w:t>运维手册完成情况如表4-1所示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3266"/>
        <w:gridCol w:w="1665"/>
        <w:gridCol w:w="166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26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665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/>
                <w:bCs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研发手册如图所示：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</w:t>
      </w:r>
    </w:p>
    <w:p>
      <w:pPr>
        <w:pStyle w:val="a1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30683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27395"/>
      <w:r>
        <w:rPr>
          <w:rFonts w:hint="eastAsia"/>
          <w:lang w:val="en-US" w:eastAsia="zh-CN"/>
        </w:rPr>
        <w:t>研发经费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项目经费使用表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9" w:name="_Toc16182"/>
      <w:r>
        <w:rPr>
          <w:rFonts w:hint="eastAsia"/>
          <w:lang w:val="en-US" w:eastAsia="zh-CN"/>
        </w:rPr>
        <w:t>新技术研发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截至目前，新技术预研工作已按计划完成第一阶段的核心任务，成功搭建了AIOps原型演示环境，并在智能告警收敛这一关键能力上实现了概念验证，验证了其与现有禅道流程平台集成的技术可行性。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引擎：开发并验证了告警关联分析算法。该引擎能够将监控系统上报的海量、重复的告警事件，根据业务拓扑、时间窗口和故障传播路径进行智能聚合，成功将模拟的告警风暴事件数量压缩了85%以上，精准定位到少数几个根源事件。</w:t>
      </w:r>
    </w:p>
    <w:sectPr>
      <w:headerReference w:type="default" r:id="rId1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jpe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header" Target="head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jpe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2471</Words>
  <Characters>2777</Characters>
  <Application>Microsoft Office Word</Application>
  <DocSecurity>0</DocSecurity>
  <Lines>0</Lines>
  <Paragraphs>0</Paragraphs>
  <ScaleCrop>false</ScaleCrop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