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GoBack"/>
      <w:bookmarkStart w:id="1" w:name="_Toc14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30834"/>
      <w:r>
        <w:rPr>
          <w:rFonts w:hint="eastAsia"/>
          <w:lang w:val="en-US" w:eastAsia="zh-CN"/>
        </w:rPr>
        <w:t>最终软件库管理制度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_Toc5535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_Toc10662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_Toc30204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采购部</w:t>
          </w:r>
          <w:r>
            <w:tab/>
          </w:r>
          <w:r>
            <w:fldChar w:fldCharType="begin"/>
          </w:r>
          <w:r>
            <w:instrText xml:space="preserve"> PAGEREF _Toc27195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_Toc5161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技术中心</w:t>
          </w:r>
          <w:r>
            <w:tab/>
          </w:r>
          <w:r>
            <w:fldChar w:fldCharType="begin"/>
          </w:r>
          <w:r>
            <w:instrText xml:space="preserve"> PAGEREF _Toc2833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综合管理部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_Toc17818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软件库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软件资产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基线版本</w:t>
          </w:r>
          <w:r>
            <w:tab/>
          </w:r>
          <w:r>
            <w:fldChar w:fldCharType="begin"/>
          </w:r>
          <w:r>
            <w:instrText xml:space="preserve"> PAGEREF _Toc20900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_Toc16888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软件分类与分级</w:t>
          </w:r>
          <w:r>
            <w:tab/>
          </w:r>
          <w:r>
            <w:fldChar w:fldCharType="begin"/>
          </w:r>
          <w:r>
            <w:instrText xml:space="preserve"> PAGEREF _Toc19455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软件引入与入库</w:t>
          </w:r>
          <w:r>
            <w:tab/>
          </w:r>
          <w:r>
            <w:fldChar w:fldCharType="begin"/>
          </w:r>
          <w:r>
            <w:instrText xml:space="preserve"> PAGEREF _Toc26837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软件存储与版本控制</w:t>
          </w:r>
          <w:r>
            <w:tab/>
          </w:r>
          <w:r>
            <w:fldChar w:fldCharType="begin"/>
          </w:r>
          <w:r>
            <w:instrText xml:space="preserve"> PAGEREF _Toc15813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软件发布与部署</w:t>
          </w:r>
          <w:r>
            <w:tab/>
          </w:r>
          <w:r>
            <w:fldChar w:fldCharType="begin"/>
          </w:r>
          <w:r>
            <w:instrText xml:space="preserve"> PAGEREF _Toc26633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软件维护与退役</w:t>
          </w:r>
          <w:r>
            <w:tab/>
          </w:r>
          <w:r>
            <w:fldChar w:fldCharType="begin"/>
          </w:r>
          <w:r>
            <w:instrText xml:space="preserve"> PAGEREF _Toc11187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_Toc8263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_Toc12040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42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38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为规范公司运维服务所需软件资产的获取、存储、发布、使用及退役全过程，确保软件来源的合规性、版本的受控性及使用安全性，提高软件复用率与运维效率，降低软件许可与安全风险，特制定本制度。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553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本制度适用于公司运维服务活动中所使用的所有软件，包括系统软件、支撑软件、应用软件及相关补丁与插件，涉及运维部、技术中心、质量部、综合管理部及采购部。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56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集中管控原则：所有运维软件必须纳入统一的软件库进行集中管理，禁止私自引入和使用。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合规安全原则：软件的引入必须经过严格的合规与安全评估，确保不侵犯知识产权且无已知高危漏洞。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版本唯一原则：在同一环境下，对任一软件只允许一个受控版本在库内生效，避免版本混乱。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生命周期原则：对软件从事前评估、事中控制到事后归档实施全生命周期管理。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6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0204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作为软件的主要使用者和库管理责任部门，负责提报软件需求、执行软件部署、进行日常维护，并承担软件库的日常管理操作。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7195"/>
      <w:r>
        <w:rPr>
          <w:rFonts w:hint="default"/>
          <w:lang w:val="en-US" w:eastAsia="zh-CN"/>
        </w:rPr>
        <w:t>采购部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负责商业软件的采购流程，确保采购活动符合公司规定及软件许可协议。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5161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负责监督软件引入的技术评估与测试流程，并定期审计软件库的合规性与管理规范性。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833"/>
      <w:r>
        <w:rPr>
          <w:rFonts w:hint="default"/>
          <w:lang w:val="en-US" w:eastAsia="zh-CN"/>
        </w:rPr>
        <w:t>技术中心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负责对需要二次开发或深度集成的软件提供技术评估支持。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28215"/>
      <w:r>
        <w:rPr>
          <w:rFonts w:hint="default"/>
          <w:lang w:val="en-US" w:eastAsia="zh-CN"/>
        </w:rPr>
        <w:t>综合管理部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负责组织相关人员的软件管理制度与规范培训。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5195"/>
      <w:r>
        <w:rPr>
          <w:rFonts w:hint="eastAsia"/>
          <w:lang w:val="en-US" w:eastAsia="zh-CN"/>
        </w:rPr>
        <w:t>引用依据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17818"/>
      <w:r>
        <w:rPr>
          <w:rFonts w:hint="eastAsia"/>
          <w:lang w:val="en-US" w:eastAsia="zh-CN"/>
        </w:rPr>
        <w:t>定义与术语</w:t>
      </w:r>
      <w:bookmarkEnd w:id="14"/>
    </w:p>
    <w:p>
      <w:pPr>
        <w:pStyle w:val="2"/>
        <w:bidi w:val="0"/>
        <w:rPr>
          <w:rFonts w:hint="eastAsia"/>
        </w:rPr>
      </w:pPr>
      <w:bookmarkStart w:id="15" w:name="_Toc4488"/>
      <w:r>
        <w:rPr>
          <w:rFonts w:hint="eastAsia"/>
        </w:rPr>
        <w:t>软件库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指公司用于统一存储、管理并发布所有经过授权和验证的软件安装包、许可证、文档及版本信息的逻辑存储库。</w:t>
      </w:r>
    </w:p>
    <w:p>
      <w:pPr>
        <w:pStyle w:val="2"/>
        <w:bidi w:val="0"/>
        <w:rPr>
          <w:rFonts w:hint="eastAsia"/>
        </w:rPr>
      </w:pPr>
      <w:bookmarkStart w:id="16" w:name="_Toc28333"/>
      <w:r>
        <w:rPr>
          <w:rFonts w:hint="eastAsia"/>
        </w:rPr>
        <w:t>软件资产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指公司拥有合法使用权的各类软件及其相关许可证明文档。</w:t>
      </w:r>
    </w:p>
    <w:p>
      <w:pPr>
        <w:pStyle w:val="2"/>
        <w:bidi w:val="0"/>
        <w:rPr>
          <w:rFonts w:hint="eastAsia"/>
        </w:rPr>
      </w:pPr>
      <w:bookmarkStart w:id="17" w:name="_Toc20900"/>
      <w:r>
        <w:rPr>
          <w:rFonts w:hint="eastAsia"/>
        </w:rPr>
        <w:t>基线版本</w:t>
      </w:r>
      <w:bookmarkEnd w:id="17"/>
    </w:p>
    <w:p>
      <w:pPr>
        <w:pStyle w:val="a1"/>
      </w:pPr>
      <w:r>
        <w:rPr>
          <w:rFonts w:hint="eastAsia"/>
        </w:rPr>
        <w:t>指经过全面测试、验证稳定，并被正式批准可在生产环境中部署运行的软件版本。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6888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9455"/>
      <w:r>
        <w:rPr>
          <w:rFonts w:hint="default"/>
          <w:lang w:val="en-US" w:eastAsia="zh-CN"/>
        </w:rPr>
        <w:t>软件分类与分级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软件分类：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系统软件：如操作系统、虚拟机监控程序等。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支撑软件：如数据库、中间件、备份软件等。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工具软件：如监控工具、自动化运维平台、安全扫描工具等。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应用补丁：针对上述软件的补丁程序、漏洞修复程序。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使用环境分级：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生产环境软件：用于正式业务运营的软件，需经过最严格的测试与审批。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测试环境软件：用于功能、性能测试的软件。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开发环境软件：用于研发或模拟环境的软件。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6837"/>
      <w:r>
        <w:rPr>
          <w:rFonts w:hint="default"/>
          <w:lang w:val="en-US" w:eastAsia="zh-CN"/>
        </w:rPr>
        <w:t>软件引入与入库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需求申请：使用部门填写《软件引入申请表》，明确软件用途、技术要求和业务必要性。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技术评估：运维部与质量部对软件的技术兼容性、性能及安全性进行评估。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合规审核：采购部负责审核软件许可证类型的合规性及商业条款。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批准入库：所有评估审核通过后，由运维部负责人批准。软件包、许可证文件及相关文档由软件库管理员统一录入软件库，并建立初始台账。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5813"/>
      <w:r>
        <w:rPr>
          <w:rFonts w:hint="default"/>
          <w:lang w:val="en-US" w:eastAsia="zh-CN"/>
        </w:rPr>
        <w:t>软件存储与版本控制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集中存储：所有软件安装包必须存放于指定的软件库服务器中，并进行病毒扫描。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版本管理：软件库中每个软件均需标识清晰的版本号。对已部署的基线版本进行锁定，任何升级需遵循变更管理流程。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元数据记录：每个软件条目必须记录名称、版本、供应商、引入日期、许可证信息、MD5校验码、存放路径及负责人等元数据。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6633"/>
      <w:r>
        <w:rPr>
          <w:rFonts w:hint="default"/>
          <w:lang w:val="en-US" w:eastAsia="zh-CN"/>
        </w:rPr>
        <w:t>软件发布与部署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申请与审批：软件部署必须经过正式的发布流程审批。部署至生产环境的软件必须是软件库中的基线版本。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来源唯一：所有环境的软件部署，其安装包必须来源于软件库，禁止使用其他来源的安装包。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记录追踪：每次软件发布与部署均需记录，确保部署行为可追溯。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1187"/>
      <w:r>
        <w:rPr>
          <w:rFonts w:hint="default"/>
          <w:lang w:val="en-US" w:eastAsia="zh-CN"/>
        </w:rPr>
        <w:t>软件维护与退役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更新与升级：软件升级版本需重新执行引入与入库流程。紧急补丁可走快速通道，但必须事后补全手续并通知质量部。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定期盘点：每半年对软件库内的软件资产进行一次全面盘点，核对实物（安装包）与台账（许可证数量）的一致性。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退役处理：对已停止技术支撑、存在严重安全漏洞或不再使用的软件，由运维部发起退役申请，经批准后，将其移至软件库的历史归档区，并更新资产状态。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8263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年度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2040"/>
      <w:bookmarkStart w:id="27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31678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2128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783616"/>
    <w:multiLevelType w:val="singleLevel"/>
    <w:tmpl w:val="897836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F360E9F"/>
    <w:multiLevelType w:val="singleLevel"/>
    <w:tmpl w:val="BF360E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1979</Words>
  <Characters>2166</Characters>
  <Application>Microsoft Office Word</Application>
  <DocSecurity>0</DocSecurity>
  <Lines>0</Lines>
  <Paragraphs>0</Paragraphs>
  <ScaleCrop>false</ScaleCrop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