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5714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8417"/>
      <w:r>
        <w:rPr>
          <w:rFonts w:hint="eastAsia"/>
          <w:lang w:val="en-US" w:eastAsia="zh-CN"/>
        </w:rPr>
        <w:t>运维服务工具自评估报告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8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_Toc25714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_Toc25714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_Toc28417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运维服务工具自评估报告</w:t>
          </w:r>
          <w:r>
            <w:tab/>
          </w:r>
          <w:r>
            <w:fldChar w:fldCharType="begin"/>
          </w:r>
          <w:r>
            <w:instrText xml:space="preserve"> PAGEREF _Toc28417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_Toc2289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headerReference w:type="default" r:id="rId6"/>
          <w:pgSz w:w="11906" w:h="16838"/>
          <w:pgMar w:top="1417" w:right="1800" w:bottom="1440" w:left="1800" w:header="1140" w:footer="992" w:gutter="0"/>
          <w:cols w:num="1" w:space="425"/>
          <w:docGrid w:type="lines" w:linePitch="312" w:charSpace="0"/>
        </w:sect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a1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对运维工具使用情况进行评估,为后期工作提供指导意见</w:t>
      </w:r>
    </w:p>
    <w:tbl>
      <w:tblPr>
        <w:tblStyle w:val="TableNormal0"/>
        <w:tblW w:w="1452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5"/>
        <w:gridCol w:w="1307"/>
        <w:gridCol w:w="2874"/>
        <w:gridCol w:w="2543"/>
        <w:gridCol w:w="1986"/>
        <w:gridCol w:w="3196"/>
        <w:gridCol w:w="1343"/>
      </w:tblGrid>
      <w:tr>
        <w:tblPrEx>
          <w:tblW w:w="14524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1"/>
        </w:trPr>
        <w:tc>
          <w:tcPr>
            <w:tcW w:w="1275" w:type="dxa"/>
            <w:shd w:val="clear" w:color="auto" w:fill="E5E5E5"/>
          </w:tcPr>
          <w:p>
            <w:pPr>
              <w:spacing w:before="215" w:line="289" w:lineRule="auto"/>
              <w:ind w:left="538" w:right="110" w:hanging="42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6"/>
                <w:sz w:val="20"/>
                <w:szCs w:val="20"/>
              </w:rPr>
              <w:t>运维工具分</w:t>
            </w:r>
            <w:r>
              <w:rPr>
                <w:rFonts w:ascii="宋体" w:eastAsia="宋体" w:hAnsi="宋体" w:cs="宋体"/>
                <w:b/>
                <w:bCs/>
                <w:spacing w:val="-2"/>
                <w:sz w:val="20"/>
                <w:szCs w:val="20"/>
              </w:rPr>
              <w:t>类</w:t>
            </w:r>
          </w:p>
        </w:tc>
        <w:tc>
          <w:tcPr>
            <w:tcW w:w="1307" w:type="dxa"/>
            <w:shd w:val="clear" w:color="auto" w:fill="E5E5E5"/>
          </w:tcPr>
          <w:p>
            <w:pPr>
              <w:pStyle w:val="TableText"/>
              <w:spacing w:line="303" w:lineRule="auto"/>
            </w:pPr>
          </w:p>
          <w:p>
            <w:pPr>
              <w:spacing w:before="65" w:line="229" w:lineRule="auto"/>
              <w:ind w:left="23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5"/>
                <w:sz w:val="20"/>
                <w:szCs w:val="20"/>
              </w:rPr>
              <w:t>工具名称</w:t>
            </w:r>
          </w:p>
        </w:tc>
        <w:tc>
          <w:tcPr>
            <w:tcW w:w="2874" w:type="dxa"/>
            <w:shd w:val="clear" w:color="auto" w:fill="E5E5E5"/>
          </w:tcPr>
          <w:p>
            <w:pPr>
              <w:spacing w:before="214" w:line="229" w:lineRule="auto"/>
              <w:ind w:left="52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6"/>
                <w:sz w:val="20"/>
                <w:szCs w:val="20"/>
              </w:rPr>
              <w:t>主要功能</w:t>
            </w:r>
          </w:p>
          <w:p>
            <w:pPr>
              <w:spacing w:before="63" w:line="228" w:lineRule="auto"/>
              <w:ind w:left="12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（关键功能说明）</w:t>
            </w:r>
          </w:p>
        </w:tc>
        <w:tc>
          <w:tcPr>
            <w:tcW w:w="2543" w:type="dxa"/>
            <w:shd w:val="clear" w:color="auto" w:fill="E5E5E5"/>
          </w:tcPr>
          <w:p>
            <w:pPr>
              <w:spacing w:before="214" w:line="228" w:lineRule="auto"/>
              <w:rPr>
                <w:rFonts w:ascii="宋体" w:eastAsia="宋体" w:hAnsi="宋体" w:cs="宋体"/>
                <w:b/>
                <w:bCs/>
                <w:spacing w:val="6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6"/>
                <w:sz w:val="20"/>
                <w:szCs w:val="20"/>
              </w:rPr>
              <w:t>使用情况说明</w:t>
            </w:r>
          </w:p>
          <w:p>
            <w:pPr>
              <w:spacing w:before="214" w:line="228" w:lineRule="auto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6"/>
                <w:sz w:val="20"/>
                <w:szCs w:val="20"/>
              </w:rPr>
              <w:t>（工具使用的客户及项目）</w:t>
            </w:r>
          </w:p>
        </w:tc>
        <w:tc>
          <w:tcPr>
            <w:tcW w:w="1986" w:type="dxa"/>
            <w:shd w:val="clear" w:color="auto" w:fill="E5E5E5"/>
          </w:tcPr>
          <w:p>
            <w:pPr>
              <w:spacing w:before="58" w:line="228" w:lineRule="auto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5"/>
                <w:sz w:val="20"/>
                <w:szCs w:val="20"/>
              </w:rPr>
              <w:t>工具来源</w:t>
            </w:r>
          </w:p>
          <w:p>
            <w:pPr>
              <w:spacing w:before="66" w:line="263" w:lineRule="auto"/>
              <w:ind w:right="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（开源工具、</w:t>
            </w:r>
            <w:r>
              <w:rPr>
                <w:rFonts w:ascii="宋体" w:eastAsia="宋体" w:hAnsi="宋体" w:cs="宋体"/>
                <w:spacing w:val="-44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自主</w:t>
            </w:r>
            <w:r>
              <w:rPr>
                <w:rFonts w:ascii="宋体" w:eastAsia="宋体" w:hAnsi="宋体" w:cs="宋体"/>
                <w:b/>
                <w:bCs/>
                <w:spacing w:val="3"/>
                <w:sz w:val="20"/>
                <w:szCs w:val="20"/>
              </w:rPr>
              <w:t>研发、外购的说明）</w:t>
            </w:r>
          </w:p>
        </w:tc>
        <w:tc>
          <w:tcPr>
            <w:tcW w:w="3196" w:type="dxa"/>
            <w:shd w:val="clear" w:color="auto" w:fill="E5E5E5"/>
          </w:tcPr>
          <w:p>
            <w:pPr>
              <w:pStyle w:val="TableText"/>
              <w:spacing w:line="303" w:lineRule="auto"/>
            </w:pPr>
          </w:p>
          <w:p>
            <w:pPr>
              <w:spacing w:before="65" w:line="226" w:lineRule="auto"/>
              <w:ind w:left="76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7"/>
                <w:sz w:val="20"/>
                <w:szCs w:val="20"/>
              </w:rPr>
              <w:t>使用效果评估意见</w:t>
            </w:r>
          </w:p>
        </w:tc>
        <w:tc>
          <w:tcPr>
            <w:tcW w:w="1343" w:type="dxa"/>
            <w:shd w:val="clear" w:color="auto" w:fill="E5E5E5"/>
          </w:tcPr>
          <w:p>
            <w:pPr>
              <w:spacing w:before="215" w:line="290" w:lineRule="auto"/>
              <w:ind w:left="476" w:right="302" w:hanging="16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spacing w:val="4"/>
                <w:sz w:val="20"/>
                <w:szCs w:val="20"/>
              </w:rPr>
              <w:t>评价人/</w:t>
            </w:r>
            <w:r>
              <w:rPr>
                <w:rFonts w:ascii="宋体" w:eastAsia="宋体" w:hAnsi="宋体" w:cs="宋体"/>
                <w:b/>
                <w:bCs/>
                <w:spacing w:val="-1"/>
                <w:sz w:val="20"/>
                <w:szCs w:val="20"/>
              </w:rPr>
              <w:t>时间</w:t>
            </w:r>
          </w:p>
        </w:tc>
      </w:tr>
      <w:tr>
        <w:tblPrEx>
          <w:tblW w:w="145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2"/>
        </w:trPr>
        <w:tc>
          <w:tcPr>
            <w:tcW w:w="1275" w:type="dxa"/>
            <w:vMerge w:val="restart"/>
          </w:tcPr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2" w:lineRule="auto"/>
            </w:pPr>
          </w:p>
          <w:p>
            <w:pPr>
              <w:spacing w:before="78" w:line="243" w:lineRule="auto"/>
              <w:ind w:left="404" w:right="154" w:hanging="24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过程管理</w:t>
            </w: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工具</w:t>
            </w:r>
          </w:p>
        </w:tc>
        <w:tc>
          <w:tcPr>
            <w:tcW w:w="1307" w:type="dxa"/>
          </w:tcPr>
          <w:p>
            <w:pPr>
              <w:pStyle w:val="TableText"/>
              <w:spacing w:line="296" w:lineRule="auto"/>
            </w:pPr>
          </w:p>
          <w:p>
            <w:pPr>
              <w:pStyle w:val="TableText"/>
              <w:spacing w:line="297" w:lineRule="auto"/>
            </w:pPr>
          </w:p>
          <w:p>
            <w:pPr>
              <w:pStyle w:val="TableText"/>
              <w:spacing w:line="297" w:lineRule="auto"/>
            </w:pPr>
          </w:p>
          <w:p>
            <w:pPr>
              <w:spacing w:line="219" w:lineRule="auto"/>
              <w:ind w:left="184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DASUSM平台</w:t>
            </w:r>
          </w:p>
        </w:tc>
        <w:tc>
          <w:tcPr>
            <w:tcW w:w="2874" w:type="dxa"/>
          </w:tcPr>
          <w:p>
            <w:pPr>
              <w:spacing w:before="12" w:line="234" w:lineRule="auto"/>
              <w:ind w:left="118" w:right="107" w:firstLine="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DASUSM（明御 ® 运维审计与风险控制系统）集成了运维会话审计、身份权限管理、资产集中管控、工单流程管理等核心功能，还包含实时操作监控、风险策略告警、合规报表输出等模块，能够帮助企业对运维操作进行全流程安全管控与审计溯源，实现 “操作可追溯</w:t>
            </w:r>
          </w:p>
        </w:tc>
        <w:tc>
          <w:tcPr>
            <w:tcW w:w="2543" w:type="dxa"/>
          </w:tcPr>
          <w:p>
            <w:pPr>
              <w:spacing w:before="12" w:line="234" w:lineRule="auto"/>
              <w:ind w:left="118" w:right="107" w:firstLine="6"/>
              <w:rPr>
                <w:rFonts w:ascii="宋体" w:hAnsi="宋体" w:cs="宋体"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val="en-US" w:eastAsia="zh-CN"/>
              </w:rPr>
              <w:t>安徽益联-丰盈云人力资源服务业财一体化管理系统</w:t>
            </w:r>
          </w:p>
          <w:p>
            <w:pPr>
              <w:spacing w:before="12" w:line="234" w:lineRule="auto"/>
              <w:ind w:left="118" w:right="107" w:firstLine="6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万古-员工数据闭环管理云服务</w:t>
            </w:r>
            <w:r>
              <w:rPr>
                <w:rFonts w:ascii="宋体" w:hAnsi="宋体" w:cs="宋体" w:hint="eastAsia"/>
                <w:sz w:val="24"/>
                <w:szCs w:val="24"/>
                <w:lang w:val="en-US" w:eastAsia="zh-CN"/>
              </w:rPr>
              <w:t>项目</w:t>
            </w:r>
          </w:p>
        </w:tc>
        <w:tc>
          <w:tcPr>
            <w:tcW w:w="1986" w:type="dxa"/>
          </w:tcPr>
          <w:p>
            <w:pPr>
              <w:pStyle w:val="TableText"/>
            </w:pPr>
          </w:p>
          <w:p>
            <w:pPr>
              <w:spacing w:before="78" w:line="220" w:lineRule="auto"/>
              <w:ind w:left="560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val="en-US" w:eastAsia="zh-CN"/>
              </w:rPr>
              <w:t>外购</w:t>
            </w:r>
          </w:p>
        </w:tc>
        <w:tc>
          <w:tcPr>
            <w:tcW w:w="3196" w:type="dxa"/>
          </w:tcPr>
          <w:p>
            <w:pPr>
              <w:spacing w:before="12" w:line="234" w:lineRule="auto"/>
              <w:ind w:left="118" w:right="107" w:firstLine="6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default"/>
                <w:sz w:val="24"/>
                <w:szCs w:val="24"/>
              </w:rPr>
              <w:t>对ECS、RDS、SLB等云产品的资源负载、性能指标进行实时监控，如快速定位CPU利用率 100% 的云服务器并及时优化，保障业务系统稳定运行</w:t>
            </w:r>
            <w:r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。</w:t>
            </w:r>
            <w:r>
              <w:rPr>
                <w:rFonts w:ascii="宋体" w:eastAsia="宋体" w:hAnsi="宋体" w:cs="宋体" w:hint="default"/>
                <w:sz w:val="24"/>
                <w:szCs w:val="24"/>
              </w:rPr>
              <w:t>借助其安全模块成功拦截了针对政务服务平台的 SQL 注入</w:t>
            </w:r>
          </w:p>
        </w:tc>
        <w:tc>
          <w:tcPr>
            <w:tcW w:w="1343" w:type="dxa"/>
          </w:tcPr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2" w:lineRule="auto"/>
            </w:pPr>
          </w:p>
          <w:p>
            <w:pPr>
              <w:pStyle w:val="TableText"/>
              <w:spacing w:line="262" w:lineRule="auto"/>
            </w:pPr>
          </w:p>
          <w:p>
            <w:pPr>
              <w:spacing w:before="26" w:line="239" w:lineRule="auto"/>
              <w:ind w:left="120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刘禹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2025.11.</w:t>
            </w: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W w:w="145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2"/>
        </w:trPr>
        <w:tc>
          <w:tcPr>
            <w:tcW w:w="1275" w:type="dxa"/>
            <w:vMerge/>
          </w:tcPr>
          <w:p>
            <w:pPr>
              <w:spacing w:before="78" w:line="243" w:lineRule="auto"/>
              <w:ind w:left="404" w:right="154" w:hanging="241"/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</w:pPr>
          </w:p>
        </w:tc>
        <w:tc>
          <w:tcPr>
            <w:tcW w:w="1307" w:type="dxa"/>
          </w:tcPr>
          <w:p>
            <w:pPr>
              <w:spacing w:line="219" w:lineRule="auto"/>
              <w:ind w:left="184"/>
              <w:rPr>
                <w:rFonts w:hint="eastAsia"/>
                <w:lang w:val="en-US" w:eastAsia="zh-CN"/>
              </w:rPr>
            </w:pPr>
          </w:p>
          <w:p>
            <w:pPr>
              <w:spacing w:line="219" w:lineRule="auto"/>
              <w:ind w:left="184"/>
              <w:rPr>
                <w:rFonts w:hint="eastAsia"/>
                <w:lang w:val="en-US" w:eastAsia="zh-CN"/>
              </w:rPr>
            </w:pPr>
          </w:p>
          <w:p>
            <w:pPr>
              <w:spacing w:line="219" w:lineRule="auto"/>
              <w:ind w:left="184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禅道项目管理工具</w:t>
            </w:r>
          </w:p>
        </w:tc>
        <w:tc>
          <w:tcPr>
            <w:tcW w:w="2874" w:type="dxa"/>
          </w:tcPr>
          <w:p>
            <w:pPr>
              <w:spacing w:before="12" w:line="234" w:lineRule="auto"/>
              <w:ind w:left="118" w:right="107" w:firstLine="6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集成了需求管理、任务分解、缺陷跟踪、测试用例管理 等核心功能，还包含 项目计划与进度看板、燃尽图、团队协作 等模块，能够帮助团队对项目全生命周期进行结构化、可视化的管控，实现 “过程全透明、进度可跟踪、责任可追溯” 的高效协同。</w:t>
            </w:r>
          </w:p>
        </w:tc>
        <w:tc>
          <w:tcPr>
            <w:tcW w:w="2543" w:type="dxa"/>
          </w:tcPr>
          <w:p>
            <w:pPr>
              <w:spacing w:before="12" w:line="234" w:lineRule="auto"/>
              <w:ind w:left="118" w:right="107" w:firstLine="6"/>
              <w:rPr>
                <w:rFonts w:ascii="宋体" w:hAnsi="宋体" w:cs="宋体"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val="en-US" w:eastAsia="zh-CN"/>
              </w:rPr>
              <w:t>安徽益联-丰盈云人力资源服务业财一体化管理系统</w:t>
            </w:r>
          </w:p>
          <w:p>
            <w:pPr>
              <w:spacing w:before="12" w:line="234" w:lineRule="auto"/>
              <w:ind w:left="118" w:right="107" w:firstLine="6"/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万古-员工数据闭环管理云服务</w:t>
            </w:r>
            <w:r>
              <w:rPr>
                <w:rFonts w:ascii="宋体" w:hAnsi="宋体" w:cs="宋体" w:hint="eastAsia"/>
                <w:sz w:val="24"/>
                <w:szCs w:val="24"/>
                <w:lang w:val="en-US" w:eastAsia="zh-CN"/>
              </w:rPr>
              <w:t>项目</w:t>
            </w:r>
          </w:p>
        </w:tc>
        <w:tc>
          <w:tcPr>
            <w:tcW w:w="1986" w:type="dxa"/>
          </w:tcPr>
          <w:p>
            <w:pPr>
              <w:spacing w:before="78" w:line="220" w:lineRule="auto"/>
              <w:ind w:left="560"/>
              <w:rPr>
                <w:rFonts w:ascii="宋体" w:hAnsi="宋体" w:cs="宋体" w:hint="eastAsia"/>
                <w:sz w:val="24"/>
                <w:szCs w:val="24"/>
                <w:lang w:val="en-US" w:eastAsia="zh-CN"/>
              </w:rPr>
            </w:pPr>
          </w:p>
          <w:p>
            <w:pPr>
              <w:spacing w:before="78" w:line="220" w:lineRule="auto"/>
              <w:ind w:left="560"/>
              <w:rPr>
                <w:rFonts w:ascii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val="en-US" w:eastAsia="zh-CN"/>
              </w:rPr>
              <w:t>开源</w:t>
            </w:r>
          </w:p>
        </w:tc>
        <w:tc>
          <w:tcPr>
            <w:tcW w:w="3196" w:type="dxa"/>
          </w:tcPr>
          <w:p>
            <w:pPr>
              <w:spacing w:before="12" w:line="234" w:lineRule="auto"/>
              <w:ind w:left="118" w:right="107" w:firstLine="6"/>
              <w:rPr>
                <w:rFonts w:ascii="宋体" w:eastAsia="宋体" w:hAnsi="宋体" w:cs="宋体" w:hint="default"/>
                <w:sz w:val="24"/>
                <w:szCs w:val="24"/>
              </w:rPr>
            </w:pPr>
            <w:r>
              <w:rPr>
                <w:rFonts w:ascii="宋体" w:eastAsia="宋体" w:hAnsi="宋体" w:cs="宋体" w:hint="default"/>
                <w:sz w:val="24"/>
                <w:szCs w:val="24"/>
              </w:rPr>
              <w:t>项目计划、任务进度、缺陷修复进行全过程跟踪管理。如快速定位并协同处理因需求变更导致的开发任务阻塞，确保关键里程碑的按时达成，保障项目交付物有序推进。借助其测试与缺陷管理模块，高效跟进并闭环了在上线前测试阶段发现的多个核心功能问题，保障了系统交付质量</w:t>
            </w:r>
          </w:p>
        </w:tc>
        <w:tc>
          <w:tcPr>
            <w:tcW w:w="1343" w:type="dxa"/>
          </w:tcPr>
          <w:p>
            <w:pPr>
              <w:spacing w:before="26" w:line="239" w:lineRule="auto"/>
              <w:ind w:left="120"/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刘禹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2025.11.</w:t>
            </w: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W w:w="1452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9"/>
        </w:trPr>
        <w:tc>
          <w:tcPr>
            <w:tcW w:w="1275" w:type="dxa"/>
          </w:tcPr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spacing w:before="78" w:line="220" w:lineRule="auto"/>
              <w:ind w:left="16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监控工具</w:t>
            </w:r>
          </w:p>
        </w:tc>
        <w:tc>
          <w:tcPr>
            <w:tcW w:w="1307" w:type="dxa"/>
          </w:tcPr>
          <w:p>
            <w:pPr>
              <w:pStyle w:val="TableText"/>
              <w:spacing w:line="262" w:lineRule="auto"/>
            </w:pPr>
          </w:p>
          <w:p>
            <w:pPr>
              <w:pStyle w:val="TableText"/>
              <w:spacing w:line="262" w:lineRule="auto"/>
            </w:pPr>
          </w:p>
          <w:p>
            <w:pPr>
              <w:pStyle w:val="TableText"/>
              <w:spacing w:line="262" w:lineRule="auto"/>
            </w:pPr>
          </w:p>
          <w:p>
            <w:pPr>
              <w:pStyle w:val="TableText"/>
              <w:spacing w:line="262" w:lineRule="auto"/>
            </w:pPr>
          </w:p>
          <w:p>
            <w:pPr>
              <w:spacing w:before="78" w:line="242" w:lineRule="auto"/>
              <w:ind w:left="179" w:right="119" w:hanging="73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val="en-US" w:eastAsia="zh-CN"/>
              </w:rPr>
              <w:t>阿里云飞天企业版</w:t>
            </w:r>
          </w:p>
        </w:tc>
        <w:tc>
          <w:tcPr>
            <w:tcW w:w="2874" w:type="dxa"/>
          </w:tcPr>
          <w:p>
            <w:pPr>
              <w:spacing w:before="12" w:line="234" w:lineRule="auto"/>
              <w:ind w:left="118" w:right="107" w:firstLine="6"/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集成了对云服务器（ECS）、云数据库（RDS）、负载均衡（SLB）、对象存储（OSS）等核心云资源的全方位监控，通过数据管理服务（DMS）、运维审计与统一监控模块，实现了对资源性能、容量、安全及可用性的实时感知与智能预警。该平台可帮助企业对云计算资源进行集中化、精细化的运营与管理，适用于政务、企业数字化转型等对稳定性与连续性要求极高的场景</w:t>
            </w:r>
          </w:p>
          <w:p>
            <w:pPr>
              <w:spacing w:before="12" w:line="234" w:lineRule="auto"/>
              <w:ind w:left="118" w:right="107" w:firstLine="6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2543" w:type="dxa"/>
          </w:tcPr>
          <w:p>
            <w:pPr>
              <w:spacing w:before="12" w:line="234" w:lineRule="auto"/>
              <w:ind w:left="118" w:right="107" w:firstLine="6"/>
              <w:rPr>
                <w:rFonts w:ascii="宋体" w:hAnsi="宋体" w:cs="宋体" w:hint="eastAsia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val="en-US" w:eastAsia="zh-CN"/>
              </w:rPr>
              <w:t>安徽益联-丰盈云人力资源服务业财一体化管理系统</w:t>
            </w:r>
          </w:p>
          <w:p>
            <w:pPr>
              <w:spacing w:before="12" w:line="234" w:lineRule="auto"/>
              <w:ind w:left="118" w:right="107" w:firstLine="6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万古-员工数据闭环管理云服务</w:t>
            </w:r>
            <w:r>
              <w:rPr>
                <w:rFonts w:ascii="宋体" w:hAnsi="宋体" w:cs="宋体" w:hint="eastAsia"/>
                <w:sz w:val="24"/>
                <w:szCs w:val="24"/>
                <w:lang w:val="en-US" w:eastAsia="zh-CN"/>
              </w:rPr>
              <w:t>项目</w:t>
            </w:r>
          </w:p>
        </w:tc>
        <w:tc>
          <w:tcPr>
            <w:tcW w:w="1986" w:type="dxa"/>
          </w:tcPr>
          <w:p>
            <w:pPr>
              <w:pStyle w:val="TableText"/>
            </w:pPr>
          </w:p>
          <w:p>
            <w:pPr>
              <w:spacing w:before="78" w:line="221" w:lineRule="auto"/>
              <w:ind w:left="521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pacing w:val="-3"/>
                <w:sz w:val="24"/>
                <w:szCs w:val="24"/>
                <w:lang w:val="en-US" w:eastAsia="zh-CN"/>
              </w:rPr>
              <w:t>外购</w:t>
            </w:r>
          </w:p>
        </w:tc>
        <w:tc>
          <w:tcPr>
            <w:tcW w:w="3196" w:type="dxa"/>
          </w:tcPr>
          <w:p>
            <w:pPr>
              <w:spacing w:before="12" w:line="234" w:lineRule="auto"/>
              <w:ind w:left="118" w:right="107" w:firstLine="6"/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</w:pPr>
            <w:bookmarkStart w:id="2" w:name="_GoBack"/>
            <w:r>
              <w:rPr>
                <w:rFonts w:ascii="宋体" w:eastAsia="宋体" w:hAnsi="宋体" w:cs="宋体" w:hint="eastAsia"/>
                <w:sz w:val="24"/>
                <w:szCs w:val="24"/>
              </w:rPr>
              <w:t>依托阿里云飞天企业版提供的全方位监控能力，实现了对云服务器（ECS）、云数据库（RDS）、负载均衡（SLB）等核心资源的性能指标与运行状态的实时监控与智能预警。通过其完善的监控仪表盘与告警规则，能够快速发现并定位因流量激增、资源瓶颈或异常访问导致的系统性能劣化风险。例如，在业务高峰期间，监控平台及时捕获到数据库连接数逼近阈值并触发预警，运维团队据此迅速进行扩容与优化，有效避免了服务响应延迟或中断，保障了系统在高负载下的持续稳定运行与优质用户体验。该监控体系为运维决策提供了实时、准确的数据支撑，是实现系统高可用性与业务连续性的关键保障。</w:t>
            </w:r>
            <w:bookmarkEnd w:id="2"/>
          </w:p>
        </w:tc>
        <w:tc>
          <w:tcPr>
            <w:tcW w:w="1343" w:type="dxa"/>
          </w:tcPr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2" w:lineRule="auto"/>
            </w:pPr>
          </w:p>
          <w:p>
            <w:pPr>
              <w:pStyle w:val="TableText"/>
              <w:spacing w:line="262" w:lineRule="auto"/>
            </w:pPr>
          </w:p>
          <w:p>
            <w:pPr>
              <w:pStyle w:val="TableText"/>
              <w:spacing w:line="262" w:lineRule="auto"/>
            </w:pPr>
          </w:p>
          <w:p>
            <w:pPr>
              <w:spacing w:before="26" w:line="239" w:lineRule="auto"/>
              <w:ind w:left="120"/>
              <w:rPr>
                <w:rFonts w:ascii="宋体" w:eastAsia="宋体" w:hAnsi="宋体" w:cs="宋体" w:hint="default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刘禹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2025.11.</w:t>
            </w:r>
            <w:r>
              <w:rPr>
                <w:rFonts w:ascii="宋体" w:hAnsi="宋体" w:cs="宋体" w:hint="eastAsia"/>
                <w:spacing w:val="-2"/>
                <w:sz w:val="24"/>
                <w:szCs w:val="24"/>
                <w:lang w:val="en-US" w:eastAsia="zh-CN"/>
              </w:rPr>
              <w:t>22</w:t>
            </w:r>
          </w:p>
        </w:tc>
      </w:tr>
    </w:tbl>
    <w:p>
      <w:pPr>
        <w:pStyle w:val="a1"/>
        <w:ind w:left="0" w:firstLine="0" w:leftChars="0" w:firstLineChars="0"/>
        <w:rPr>
          <w:rFonts w:hint="default"/>
          <w:lang w:val="en-US" w:eastAsia="zh-CN"/>
        </w:rPr>
      </w:pPr>
    </w:p>
    <w:sectPr>
      <w:pgSz w:w="16838" w:h="11906" w:orient="landscape"/>
      <w:pgMar w:top="1800" w:right="1417" w:bottom="1800" w:left="144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1053</Words>
  <Characters>1174</Characters>
  <Application>Microsoft Office Word</Application>
  <DocSecurity>0</DocSecurity>
  <Lines>0</Lines>
  <Paragraphs>0</Paragraphs>
  <ScaleCrop>false</ScaleCrop>
  <Company/>
  <LinksUpToDate>false</LinksUpToDate>
  <CharactersWithSpaces>1202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2026-01-15T00:55:45Z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