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686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6269"/>
      <w:r>
        <w:rPr>
          <w:rFonts w:hint="eastAsia"/>
          <w:lang w:val="en-US" w:eastAsia="zh-CN"/>
        </w:rPr>
        <w:t>公安视频监控项目运维项目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应急演练大纲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10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  <w:bookmarkStart w:id="2" w:name="_GoBack"/>
            <w:bookmarkEnd w:id="2"/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_Toc686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_Toc16269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公安视频监控项目运维项目 应急演练大纲</w:t>
          </w:r>
          <w:r>
            <w:tab/>
          </w:r>
          <w:r>
            <w:fldChar w:fldCharType="begin"/>
          </w:r>
          <w:r>
            <w:instrText xml:space="preserve"> PAGEREF _Toc16269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_Toc18904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演练基本信息</w:t>
          </w:r>
          <w:r>
            <w:tab/>
          </w:r>
          <w:r>
            <w:fldChar w:fldCharType="begin"/>
          </w:r>
          <w:r>
            <w:instrText xml:space="preserve"> PAGEREF _Toc18904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_Toc20846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演练目的</w:t>
          </w:r>
          <w:r>
            <w:tab/>
          </w:r>
          <w:r>
            <w:fldChar w:fldCharType="begin"/>
          </w:r>
          <w:r>
            <w:instrText xml:space="preserve"> PAGEREF _Toc20846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_Toc19387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演练组织架构</w:t>
          </w:r>
          <w:r>
            <w:tab/>
          </w:r>
          <w:r>
            <w:fldChar w:fldCharType="begin"/>
          </w:r>
          <w:r>
            <w:instrText xml:space="preserve"> PAGEREF _Toc19387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_Toc23644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应急指挥部</w:t>
          </w:r>
          <w:r>
            <w:tab/>
          </w:r>
          <w:r>
            <w:fldChar w:fldCharType="begin"/>
          </w:r>
          <w:r>
            <w:instrText xml:space="preserve"> PAGEREF _Toc23644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_Toc21454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现场抢修组</w:t>
          </w:r>
          <w:r>
            <w:tab/>
          </w:r>
          <w:r>
            <w:fldChar w:fldCharType="begin"/>
          </w:r>
          <w:r>
            <w:instrText xml:space="preserve"> PAGEREF _Toc21454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_Toc14763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服务台</w:t>
          </w:r>
          <w:r>
            <w:tab/>
          </w:r>
          <w:r>
            <w:fldChar w:fldCharType="begin"/>
          </w:r>
          <w:r>
            <w:instrText xml:space="preserve"> PAGEREF _Toc14763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_Toc2793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演练场景设计</w:t>
          </w:r>
          <w:r>
            <w:tab/>
          </w:r>
          <w:r>
            <w:fldChar w:fldCharType="begin"/>
          </w:r>
          <w:r>
            <w:instrText xml:space="preserve"> PAGEREF _Toc2793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_Toc6235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模拟故障</w:t>
          </w:r>
          <w:r>
            <w:tab/>
          </w:r>
          <w:r>
            <w:fldChar w:fldCharType="begin"/>
          </w:r>
          <w:r>
            <w:instrText xml:space="preserve"> PAGEREF _Toc6235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_Toc3953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演练流程</w:t>
          </w:r>
          <w:r>
            <w:tab/>
          </w:r>
          <w:r>
            <w:fldChar w:fldCharType="begin"/>
          </w:r>
          <w:r>
            <w:instrText xml:space="preserve"> PAGEREF _Toc3953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_Toc8987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恢复策略</w:t>
          </w:r>
          <w:r>
            <w:tab/>
          </w:r>
          <w:r>
            <w:fldChar w:fldCharType="begin"/>
          </w:r>
          <w:r>
            <w:instrText xml:space="preserve"> PAGEREF _Toc8987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_Toc14283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演练前准备</w:t>
          </w:r>
          <w:r>
            <w:tab/>
          </w:r>
          <w:r>
            <w:fldChar w:fldCharType="begin"/>
          </w:r>
          <w:r>
            <w:instrText xml:space="preserve"> PAGEREF _Toc14283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_Toc7012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演练评估标准</w:t>
          </w:r>
          <w:r>
            <w:tab/>
          </w:r>
          <w:r>
            <w:fldChar w:fldCharType="begin"/>
          </w:r>
          <w:r>
            <w:instrText xml:space="preserve"> PAGEREF _Toc7012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_Toc6537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演练后总结</w:t>
          </w:r>
          <w:r>
            <w:tab/>
          </w:r>
          <w:r>
            <w:fldChar w:fldCharType="begin"/>
          </w:r>
          <w:r>
            <w:instrText xml:space="preserve"> PAGEREF _Toc6537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_Toc14971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8. </w:t>
          </w:r>
          <w:r>
            <w:t>资源保障</w:t>
          </w:r>
          <w:r>
            <w:tab/>
          </w:r>
          <w:r>
            <w:fldChar w:fldCharType="begin"/>
          </w:r>
          <w:r>
            <w:instrText xml:space="preserve"> PAGEREF _Toc14971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注意事项</w:t>
          </w:r>
          <w:r>
            <w:tab/>
          </w:r>
          <w:r>
            <w:fldChar w:fldCharType="begin"/>
          </w:r>
          <w:r>
            <w:instrText xml:space="preserve"> PAGEREF _Toc755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</w:pPr>
      <w:bookmarkStart w:id="3" w:name="heading_0"/>
      <w:bookmarkStart w:id="4" w:name="_Toc18904"/>
      <w:r>
        <w:t>演练基本信息</w:t>
      </w:r>
      <w:bookmarkEnd w:id="3"/>
      <w:bookmarkEnd w:id="4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780"/>
        <w:gridCol w:w="6434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80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项目</w:t>
            </w:r>
          </w:p>
        </w:tc>
        <w:tc>
          <w:tcPr>
            <w:tcW w:w="6434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内容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演练名称</w:t>
            </w:r>
          </w:p>
        </w:tc>
        <w:tc>
          <w:tcPr>
            <w:tcW w:w="6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公安视频监控项目2025年度应急演练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演练类型</w:t>
            </w:r>
          </w:p>
        </w:tc>
        <w:tc>
          <w:tcPr>
            <w:tcW w:w="6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一级故障演练 / 实战演练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演练时间</w:t>
            </w:r>
          </w:p>
        </w:tc>
        <w:tc>
          <w:tcPr>
            <w:tcW w:w="6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2025年12月15日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演练地点</w:t>
            </w:r>
          </w:p>
        </w:tc>
        <w:tc>
          <w:tcPr>
            <w:tcW w:w="6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桐乡市主城区（市政府周边）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模拟故障</w:t>
            </w:r>
          </w:p>
        </w:tc>
        <w:tc>
          <w:tcPr>
            <w:tcW w:w="6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核心区域光缆中断（市政施工挖断）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故障等级</w:t>
            </w:r>
          </w:p>
        </w:tc>
        <w:tc>
          <w:tcPr>
            <w:tcW w:w="6434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一级故障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80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演练时长</w:t>
            </w:r>
          </w:p>
        </w:tc>
        <w:tc>
          <w:tcPr>
            <w:tcW w:w="64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snapToGrid w:val="0"/>
              <w:spacing w:before="120" w:after="120" w:line="288" w:lineRule="auto"/>
              <w:ind w:left="0"/>
              <w:jc w:val="left"/>
            </w:pPr>
            <w:r>
              <w:rPr>
                <w:rFonts w:ascii="Arial" w:eastAsia="等线" w:hAnsi="Arial" w:cs="Arial"/>
                <w:sz w:val="22"/>
              </w:rPr>
              <w:t>预计2小时</w:t>
            </w:r>
          </w:p>
        </w:tc>
      </w:tr>
    </w:tbl>
    <w:p>
      <w:pPr>
        <w:pStyle w:val="1"/>
        <w:bidi w:val="0"/>
      </w:pPr>
      <w:bookmarkStart w:id="5" w:name="heading_1"/>
      <w:bookmarkStart w:id="6" w:name="_Toc20846"/>
      <w:r>
        <w:t>演练目的</w:t>
      </w:r>
      <w:bookmarkEnd w:id="5"/>
      <w:bookmarkEnd w:id="6"/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检验应急响应团队的快速反应能力（30分钟内到场）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检验故障诊断与恢复能力（核心区域2小时内恢复）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检验应急指挥与沟通机制（30分钟内建立专用沟通渠道）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检验备用纤芯切换能力（切换时间≤30分钟）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</w:pPr>
      <w:r>
        <w:t>检验服务台故障受理与工单流转效率（响应≤10分钟）</w:t>
      </w:r>
    </w:p>
    <w:p>
      <w:pPr>
        <w:pStyle w:val="1"/>
        <w:bidi w:val="0"/>
      </w:pPr>
      <w:bookmarkStart w:id="7" w:name="heading_2"/>
      <w:bookmarkStart w:id="8" w:name="_Toc19387"/>
      <w:r>
        <w:t>演练组织架构</w:t>
      </w:r>
      <w:bookmarkEnd w:id="7"/>
      <w:bookmarkEnd w:id="8"/>
    </w:p>
    <w:p>
      <w:pPr>
        <w:pStyle w:val="2"/>
        <w:bidi w:val="0"/>
      </w:pPr>
      <w:bookmarkStart w:id="9" w:name="_Toc23644"/>
      <w:bookmarkStart w:id="10" w:name="heading_3"/>
      <w:r>
        <w:t>应急指挥部</w:t>
      </w:r>
      <w:bookmarkEnd w:id="9"/>
      <w:bookmarkEnd w:id="10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478"/>
        <w:gridCol w:w="2355"/>
        <w:gridCol w:w="4381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47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角色</w:t>
            </w:r>
          </w:p>
        </w:tc>
        <w:tc>
          <w:tcPr>
            <w:tcW w:w="235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人员</w:t>
            </w:r>
          </w:p>
        </w:tc>
        <w:tc>
          <w:tcPr>
            <w:tcW w:w="438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职责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应急指挥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项目负责人</w:t>
            </w:r>
          </w:p>
        </w:tc>
        <w:tc>
          <w:tcPr>
            <w:tcW w:w="438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整体指挥、协调资源、对外联络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7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技术协调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运维部经理</w:t>
            </w:r>
          </w:p>
        </w:tc>
        <w:tc>
          <w:tcPr>
            <w:tcW w:w="438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技术支持、故障分析、决策建议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47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监督评估</w:t>
            </w:r>
          </w:p>
        </w:tc>
        <w:tc>
          <w:tcPr>
            <w:tcW w:w="235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质量管理部经理</w:t>
            </w:r>
          </w:p>
        </w:tc>
        <w:tc>
          <w:tcPr>
            <w:tcW w:w="438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记录响应时间、评估演练效果</w:t>
            </w:r>
          </w:p>
        </w:tc>
      </w:tr>
    </w:tbl>
    <w:p>
      <w:pPr>
        <w:pStyle w:val="2"/>
        <w:bidi w:val="0"/>
      </w:pPr>
      <w:bookmarkStart w:id="11" w:name="heading_4"/>
      <w:bookmarkStart w:id="12" w:name="_Toc21454"/>
      <w:r>
        <w:t>现场抢修组</w:t>
      </w:r>
      <w:bookmarkEnd w:id="11"/>
      <w:bookmarkEnd w:id="12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319"/>
        <w:gridCol w:w="2514"/>
        <w:gridCol w:w="4381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31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角色</w:t>
            </w:r>
          </w:p>
        </w:tc>
        <w:tc>
          <w:tcPr>
            <w:tcW w:w="251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人员</w:t>
            </w:r>
          </w:p>
        </w:tc>
        <w:tc>
          <w:tcPr>
            <w:tcW w:w="438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职责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1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现场抢修</w:t>
            </w:r>
          </w:p>
        </w:tc>
        <w:tc>
          <w:tcPr>
            <w:tcW w:w="251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运维工程师（2名）</w:t>
            </w:r>
          </w:p>
        </w:tc>
        <w:tc>
          <w:tcPr>
            <w:tcW w:w="438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现场排查、光纤熔接、备用纤芯切换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31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抢修车辆</w:t>
            </w:r>
          </w:p>
        </w:tc>
        <w:tc>
          <w:tcPr>
            <w:tcW w:w="251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司机（1名）</w:t>
            </w:r>
          </w:p>
        </w:tc>
        <w:tc>
          <w:tcPr>
            <w:tcW w:w="438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确保快速到达现场</w:t>
            </w:r>
          </w:p>
        </w:tc>
      </w:tr>
    </w:tbl>
    <w:p>
      <w:pPr>
        <w:pStyle w:val="2"/>
        <w:bidi w:val="0"/>
      </w:pPr>
      <w:bookmarkStart w:id="13" w:name="heading_5"/>
      <w:bookmarkStart w:id="14" w:name="_Toc14763"/>
      <w:r>
        <w:t>服务台</w:t>
      </w:r>
      <w:bookmarkEnd w:id="13"/>
      <w:bookmarkEnd w:id="14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719"/>
        <w:gridCol w:w="2058"/>
        <w:gridCol w:w="4437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71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角色</w:t>
            </w:r>
          </w:p>
        </w:tc>
        <w:tc>
          <w:tcPr>
            <w:tcW w:w="205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人员</w:t>
            </w:r>
          </w:p>
        </w:tc>
        <w:tc>
          <w:tcPr>
            <w:tcW w:w="4437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职责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1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故障受理</w:t>
            </w: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服务台专员</w:t>
            </w:r>
          </w:p>
        </w:tc>
        <w:tc>
          <w:tcPr>
            <w:tcW w:w="4437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接报、派单、跟踪、反馈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71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信息通报</w:t>
            </w:r>
          </w:p>
        </w:tc>
        <w:tc>
          <w:tcPr>
            <w:tcW w:w="205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服务台专员</w:t>
            </w:r>
          </w:p>
        </w:tc>
        <w:tc>
          <w:tcPr>
            <w:tcW w:w="44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每小时向甲方更新处理进展</w:t>
            </w:r>
          </w:p>
        </w:tc>
      </w:tr>
    </w:tbl>
    <w:p>
      <w:pPr>
        <w:pStyle w:val="1"/>
        <w:bidi w:val="0"/>
      </w:pPr>
      <w:bookmarkStart w:id="15" w:name="_Toc2793"/>
      <w:bookmarkStart w:id="16" w:name="heading_6"/>
      <w:r>
        <w:t>演练场景设计</w:t>
      </w:r>
      <w:bookmarkEnd w:id="15"/>
      <w:bookmarkEnd w:id="16"/>
    </w:p>
    <w:p>
      <w:pPr>
        <w:pStyle w:val="2"/>
        <w:bidi w:val="0"/>
      </w:pPr>
      <w:bookmarkStart w:id="17" w:name="heading_7"/>
      <w:bookmarkStart w:id="18" w:name="_Toc6235"/>
      <w:r>
        <w:t>模拟故障</w:t>
      </w:r>
      <w:bookmarkEnd w:id="17"/>
      <w:bookmarkEnd w:id="18"/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时间：2025年12月15日 上午10:00（模拟）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地点：市政府周边某核心监控点位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故障描述：光缆被市政施工挖断，摄像机离线，图像丢失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</w:pPr>
      <w:r>
        <w:t>故障等级：一级故障（核心区域监控离线）</w:t>
      </w:r>
    </w:p>
    <w:p>
      <w:pPr>
        <w:pStyle w:val="2"/>
        <w:bidi w:val="0"/>
      </w:pPr>
      <w:bookmarkStart w:id="19" w:name="heading_8"/>
      <w:bookmarkStart w:id="20" w:name="_Toc3953"/>
      <w:r>
        <w:t>演练流程</w:t>
      </w:r>
      <w:bookmarkEnd w:id="19"/>
      <w:bookmarkEnd w:id="20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513"/>
        <w:gridCol w:w="3348"/>
        <w:gridCol w:w="1547"/>
        <w:gridCol w:w="1806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513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时间节点</w:t>
            </w:r>
          </w:p>
        </w:tc>
        <w:tc>
          <w:tcPr>
            <w:tcW w:w="334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动作</w:t>
            </w:r>
          </w:p>
        </w:tc>
        <w:tc>
          <w:tcPr>
            <w:tcW w:w="154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负责人</w:t>
            </w:r>
          </w:p>
        </w:tc>
        <w:tc>
          <w:tcPr>
            <w:tcW w:w="180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备注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T+0分钟</w:t>
            </w:r>
          </w:p>
        </w:tc>
        <w:tc>
          <w:tcPr>
            <w:tcW w:w="33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服务台接到甲方报障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服务台专员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模拟报警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T+5分钟</w:t>
            </w:r>
          </w:p>
        </w:tc>
        <w:tc>
          <w:tcPr>
            <w:tcW w:w="33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完成故障分级，派发工单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服务台专员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—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T+10分钟</w:t>
            </w:r>
          </w:p>
        </w:tc>
        <w:tc>
          <w:tcPr>
            <w:tcW w:w="33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通知应急指挥部成员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项目负责人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—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T+30分钟</w:t>
            </w:r>
          </w:p>
        </w:tc>
        <w:tc>
          <w:tcPr>
            <w:tcW w:w="33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现场抢修组到达故障点位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运维工程师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记录到场时间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T+30分钟</w:t>
            </w:r>
          </w:p>
        </w:tc>
        <w:tc>
          <w:tcPr>
            <w:tcW w:w="33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建立与甲方专用沟通渠道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项目负责人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微信群/电话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T+45分钟</w:t>
            </w:r>
          </w:p>
        </w:tc>
        <w:tc>
          <w:tcPr>
            <w:tcW w:w="33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故障诊断完成（光缆中断）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运维工程师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—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T+60分钟</w:t>
            </w:r>
          </w:p>
        </w:tc>
        <w:tc>
          <w:tcPr>
            <w:tcW w:w="33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切换至备用纤芯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运维工程师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记录切换时间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13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T+90分钟</w:t>
            </w:r>
          </w:p>
        </w:tc>
        <w:tc>
          <w:tcPr>
            <w:tcW w:w="334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图像恢复，通知甲方确认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运维工程师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—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51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T+120分钟</w:t>
            </w:r>
          </w:p>
        </w:tc>
        <w:tc>
          <w:tcPr>
            <w:tcW w:w="33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故障处理完成，工单关闭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服务台专员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—</w:t>
            </w:r>
          </w:p>
        </w:tc>
      </w:tr>
    </w:tbl>
    <w:p>
      <w:pPr>
        <w:pStyle w:val="2"/>
        <w:bidi w:val="0"/>
      </w:pPr>
      <w:bookmarkStart w:id="21" w:name="_Toc8987"/>
      <w:bookmarkStart w:id="22" w:name="heading_9"/>
      <w:r>
        <w:t>恢复策略</w:t>
      </w:r>
      <w:bookmarkEnd w:id="21"/>
      <w:bookmarkEnd w:id="22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2147"/>
        <w:gridCol w:w="4274"/>
        <w:gridCol w:w="1793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2147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优先级</w:t>
            </w:r>
          </w:p>
        </w:tc>
        <w:tc>
          <w:tcPr>
            <w:tcW w:w="427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工作内容</w:t>
            </w:r>
          </w:p>
        </w:tc>
        <w:tc>
          <w:tcPr>
            <w:tcW w:w="179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预计耗时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第一优先级</w:t>
            </w: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备用纤芯切换，恢复图像</w:t>
            </w:r>
          </w:p>
        </w:tc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30分钟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47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第二优先级</w:t>
            </w: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光纤熔接修复主光缆</w:t>
            </w:r>
          </w:p>
        </w:tc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2小时内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2147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第三优先级</w:t>
            </w:r>
          </w:p>
        </w:tc>
        <w:tc>
          <w:tcPr>
            <w:tcW w:w="427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现场清理，恢复原状</w:t>
            </w:r>
          </w:p>
        </w:tc>
        <w:tc>
          <w:tcPr>
            <w:tcW w:w="179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30分钟</w:t>
            </w:r>
          </w:p>
        </w:tc>
      </w:tr>
    </w:tbl>
    <w:p>
      <w:pPr>
        <w:pStyle w:val="1"/>
        <w:bidi w:val="0"/>
      </w:pPr>
      <w:bookmarkStart w:id="23" w:name="_Toc14283"/>
      <w:bookmarkStart w:id="24" w:name="heading_10"/>
      <w:r>
        <w:t>演练前准备</w:t>
      </w:r>
      <w:bookmarkEnd w:id="23"/>
      <w:bookmarkEnd w:id="24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68"/>
        <w:gridCol w:w="3997"/>
        <w:gridCol w:w="2034"/>
        <w:gridCol w:w="1415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6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3998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准备事项</w:t>
            </w:r>
          </w:p>
        </w:tc>
        <w:tc>
          <w:tcPr>
            <w:tcW w:w="2034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责任人</w:t>
            </w:r>
          </w:p>
        </w:tc>
        <w:tc>
          <w:tcPr>
            <w:tcW w:w="141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完成时限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39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制定详细演练方案</w:t>
            </w:r>
          </w:p>
        </w:tc>
        <w:tc>
          <w:tcPr>
            <w:tcW w:w="20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运维部经理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演练前7天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39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通知甲方科信部门，确认演练时间</w:t>
            </w:r>
          </w:p>
        </w:tc>
        <w:tc>
          <w:tcPr>
            <w:tcW w:w="20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项目负责人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演练前3天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3</w:t>
            </w:r>
          </w:p>
        </w:tc>
        <w:tc>
          <w:tcPr>
            <w:tcW w:w="39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准备演练所需工具和备件</w:t>
            </w:r>
          </w:p>
        </w:tc>
        <w:tc>
          <w:tcPr>
            <w:tcW w:w="20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运维工程师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演练前1天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4</w:t>
            </w:r>
          </w:p>
        </w:tc>
        <w:tc>
          <w:tcPr>
            <w:tcW w:w="39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组织参演人员培训，明确职责</w:t>
            </w:r>
          </w:p>
        </w:tc>
        <w:tc>
          <w:tcPr>
            <w:tcW w:w="20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运维部经理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演练前1天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5</w:t>
            </w:r>
          </w:p>
        </w:tc>
        <w:tc>
          <w:tcPr>
            <w:tcW w:w="3998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设立演练观察员，准备评估表格</w:t>
            </w:r>
          </w:p>
        </w:tc>
        <w:tc>
          <w:tcPr>
            <w:tcW w:w="203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质量管理部经理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演练前1天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6</w:t>
            </w:r>
          </w:p>
        </w:tc>
        <w:tc>
          <w:tcPr>
            <w:tcW w:w="399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确认备用纤芯可用性</w:t>
            </w:r>
          </w:p>
        </w:tc>
        <w:tc>
          <w:tcPr>
            <w:tcW w:w="203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运维工程师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演练前1天</w:t>
            </w:r>
          </w:p>
        </w:tc>
      </w:tr>
    </w:tbl>
    <w:p>
      <w:pPr>
        <w:pStyle w:val="1"/>
        <w:bidi w:val="0"/>
      </w:pPr>
      <w:bookmarkStart w:id="25" w:name="_Toc7012"/>
      <w:bookmarkStart w:id="26" w:name="heading_11"/>
      <w:r>
        <w:t>演练评估标准</w:t>
      </w:r>
      <w:bookmarkEnd w:id="25"/>
      <w:bookmarkEnd w:id="26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3538"/>
        <w:gridCol w:w="2195"/>
        <w:gridCol w:w="2481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3538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评估项</w:t>
            </w:r>
          </w:p>
        </w:tc>
        <w:tc>
          <w:tcPr>
            <w:tcW w:w="2195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目标值</w:t>
            </w:r>
          </w:p>
        </w:tc>
        <w:tc>
          <w:tcPr>
            <w:tcW w:w="248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评分标准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5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服务台响应时间</w:t>
            </w:r>
          </w:p>
        </w:tc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≤10分钟</w:t>
            </w:r>
          </w:p>
        </w:tc>
        <w:tc>
          <w:tcPr>
            <w:tcW w:w="248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达标/不达标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5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现场到场时间</w:t>
            </w:r>
          </w:p>
        </w:tc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≤30分钟</w:t>
            </w:r>
          </w:p>
        </w:tc>
        <w:tc>
          <w:tcPr>
            <w:tcW w:w="248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达标/不达标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5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故障诊断时间</w:t>
            </w:r>
          </w:p>
        </w:tc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≤45分钟</w:t>
            </w:r>
          </w:p>
        </w:tc>
        <w:tc>
          <w:tcPr>
            <w:tcW w:w="248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达标/不达标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5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备用纤芯切换时间</w:t>
            </w:r>
          </w:p>
        </w:tc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≤30分钟</w:t>
            </w:r>
          </w:p>
        </w:tc>
        <w:tc>
          <w:tcPr>
            <w:tcW w:w="248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达标/不达标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5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核心区域恢复时间</w:t>
            </w:r>
          </w:p>
        </w:tc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≤2小时</w:t>
            </w:r>
          </w:p>
        </w:tc>
        <w:tc>
          <w:tcPr>
            <w:tcW w:w="248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达标/不达标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538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沟通渠道建立时间</w:t>
            </w:r>
          </w:p>
        </w:tc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≤30分钟</w:t>
            </w:r>
          </w:p>
        </w:tc>
        <w:tc>
          <w:tcPr>
            <w:tcW w:w="248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达标/不达标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353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信息更新频次</w:t>
            </w:r>
          </w:p>
        </w:tc>
        <w:tc>
          <w:tcPr>
            <w:tcW w:w="219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每小时1次</w:t>
            </w:r>
          </w:p>
        </w:tc>
        <w:tc>
          <w:tcPr>
            <w:tcW w:w="248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达标/不达标</w:t>
            </w:r>
          </w:p>
        </w:tc>
      </w:tr>
    </w:tbl>
    <w:p>
      <w:pPr>
        <w:pStyle w:val="1"/>
        <w:bidi w:val="0"/>
      </w:pPr>
      <w:bookmarkStart w:id="27" w:name="_Toc6537"/>
      <w:bookmarkStart w:id="28" w:name="heading_12"/>
      <w:r>
        <w:t>演练后总结</w:t>
      </w:r>
      <w:bookmarkEnd w:id="27"/>
      <w:bookmarkEnd w:id="28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769"/>
        <w:gridCol w:w="3579"/>
        <w:gridCol w:w="2046"/>
        <w:gridCol w:w="1820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769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序号</w:t>
            </w:r>
          </w:p>
        </w:tc>
        <w:tc>
          <w:tcPr>
            <w:tcW w:w="3579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总结事项</w:t>
            </w:r>
          </w:p>
        </w:tc>
        <w:tc>
          <w:tcPr>
            <w:tcW w:w="2046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责任人</w:t>
            </w:r>
          </w:p>
        </w:tc>
        <w:tc>
          <w:tcPr>
            <w:tcW w:w="1820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完成时限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1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记录各环节响应时间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质量管理部经理</w:t>
            </w:r>
          </w:p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演练当日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2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组织演练复盘会议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项目负责人</w:t>
            </w:r>
          </w:p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演练后3天内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3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分析存在问题及原因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运维部经理</w:t>
            </w:r>
          </w:p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演练后5天内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9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4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制定整改措施并跟踪落实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运维部经理</w:t>
            </w:r>
          </w:p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演练后7天内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769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5</w:t>
            </w:r>
          </w:p>
        </w:tc>
        <w:tc>
          <w:tcPr>
            <w:tcW w:w="3579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编制演练总结报告，提交甲方</w:t>
            </w:r>
          </w:p>
        </w:tc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项目负责人</w:t>
            </w:r>
          </w:p>
        </w:tc>
        <w:tc>
          <w:tcPr>
            <w:tcW w:w="182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演练后10天内</w:t>
            </w:r>
          </w:p>
        </w:tc>
      </w:tr>
    </w:tbl>
    <w:p>
      <w:pPr>
        <w:pStyle w:val="1"/>
        <w:bidi w:val="0"/>
      </w:pPr>
      <w:bookmarkStart w:id="29" w:name="heading_14"/>
      <w:bookmarkStart w:id="30" w:name="_Toc14971"/>
      <w:r>
        <w:t>资源保障</w:t>
      </w:r>
      <w:bookmarkEnd w:id="29"/>
      <w:bookmarkEnd w:id="30"/>
    </w:p>
    <w:tbl>
      <w:tblPr>
        <w:tblStyle w:val="TableNormal"/>
        <w:tblW w:w="8214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" w:type="dxa"/>
          <w:bottom w:w="0" w:type="dxa"/>
          <w:right w:w="10" w:type="dxa"/>
        </w:tblCellMar>
      </w:tblPr>
      <w:tblGrid>
        <w:gridCol w:w="1114"/>
        <w:gridCol w:w="4877"/>
        <w:gridCol w:w="2223"/>
      </w:tblGrid>
      <w:tr>
        <w:tblPrEx>
          <w:tblW w:w="8214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tblHeader/>
          <w:jc w:val="center"/>
        </w:trPr>
        <w:tc>
          <w:tcPr>
            <w:tcW w:w="1114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资源类型</w:t>
            </w:r>
          </w:p>
        </w:tc>
        <w:tc>
          <w:tcPr>
            <w:tcW w:w="4877" w:type="dxa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需求说明</w:t>
            </w:r>
          </w:p>
        </w:tc>
        <w:tc>
          <w:tcPr>
            <w:tcW w:w="2223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eastAsia="等线" w:hAnsi="Arial" w:cs="Arial"/>
                <w:b/>
                <w:sz w:val="22"/>
              </w:rPr>
              <w:t>来源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1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人员</w:t>
            </w:r>
          </w:p>
        </w:tc>
        <w:tc>
          <w:tcPr>
            <w:tcW w:w="487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应急指挥1人、现场抢修2人、服务台1人、评估1人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运维部、质量管理部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1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工具</w:t>
            </w:r>
          </w:p>
        </w:tc>
        <w:tc>
          <w:tcPr>
            <w:tcW w:w="487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光纤熔接机、光功率计、万用表、工程宝、对讲机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现有设备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1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备件</w:t>
            </w:r>
          </w:p>
        </w:tc>
        <w:tc>
          <w:tcPr>
            <w:tcW w:w="487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备用纤芯、尾纤、接头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备件库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14" w:type="dxa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车辆</w:t>
            </w:r>
          </w:p>
        </w:tc>
        <w:tc>
          <w:tcPr>
            <w:tcW w:w="487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抢修车辆1辆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运维部</w:t>
            </w:r>
          </w:p>
        </w:tc>
      </w:tr>
      <w:tr>
        <w:tblPrEx>
          <w:tblW w:w="8214" w:type="dxa"/>
          <w:jc w:val="center"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/>
          <w:jc w:val="center"/>
        </w:trPr>
        <w:tc>
          <w:tcPr>
            <w:tcW w:w="111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文档</w:t>
            </w:r>
          </w:p>
        </w:tc>
        <w:tc>
          <w:tcPr>
            <w:tcW w:w="48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演练方案、评估表、记录表</w:t>
            </w:r>
          </w:p>
        </w:tc>
        <w:tc>
          <w:tcPr>
            <w:tcW w:w="222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>
            <w:pPr>
              <w:keepNext/>
              <w:snapToGrid w:val="0"/>
              <w:spacing w:before="120" w:after="120" w:line="240" w:lineRule="auto"/>
              <w:ind w:left="0" w:right="0" w:firstLine="0" w:leftChars="0" w:rightChars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eastAsia="等线" w:hAnsi="Arial" w:cs="Arial"/>
                <w:sz w:val="22"/>
              </w:rPr>
              <w:t>运维部编制</w:t>
            </w:r>
          </w:p>
        </w:tc>
      </w:tr>
    </w:tbl>
    <w:p>
      <w:pPr>
        <w:pStyle w:val="1"/>
        <w:bidi w:val="0"/>
      </w:pPr>
      <w:bookmarkStart w:id="31" w:name="_Toc755"/>
      <w:bookmarkStart w:id="32" w:name="heading_15"/>
      <w:r>
        <w:t>注意事项</w:t>
      </w:r>
      <w:bookmarkEnd w:id="31"/>
      <w:bookmarkEnd w:id="32"/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安全第一：演练过程中注意人身安全和设备安全，避免次生事故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提前沟通：演练前务必通知甲方科信部门，确认演练时间，避免影响真实业务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范围控制：演练仅限于模拟故障点，不影响其他正常运行的监控点位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</w:pPr>
      <w:r>
        <w:t>记录完整：演练过程中所有环节均需记录时间，确保评估数据准确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t>及时恢复：演练结束后及时恢复故障点原状，确保监控系统正常运行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F0A25E1"/>
    <w:multiLevelType w:val="singleLevel"/>
    <w:tmpl w:val="CF0A25E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5760DF4F"/>
    <w:multiLevelType w:val="singleLevel"/>
    <w:tmpl w:val="5760DF4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6728A17B"/>
    <w:multiLevelType w:val="singleLevel"/>
    <w:tmpl w:val="6728A17B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1305</Words>
  <Characters>1449</Characters>
  <Application>Microsoft Office Word</Application>
  <DocSecurity>0</DocSecurity>
  <Lines>0</Lines>
  <Paragraphs>0</Paragraphs>
  <ScaleCrop>false</ScaleCrop>
  <Company/>
  <LinksUpToDate>false</LinksUpToDate>
  <CharactersWithSpaces>1519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2026-04-25T16:17:24Z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