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9071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046"/>
      <w:r>
        <w:rPr>
          <w:rFonts w:hint="eastAsia"/>
          <w:lang w:val="en-US" w:eastAsia="zh-CN"/>
        </w:rPr>
        <w:t>运维服务能力管理制度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bookmarkStart w:id="2" w:name="_GoBack"/>
            <w:bookmarkEnd w:id="2"/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en-US"/>
              </w:rPr>
            </w:pP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_Toc9071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_Toc9071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_Toc29046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运维服务能力管理制度</w:t>
          </w:r>
          <w:r>
            <w:tab/>
          </w:r>
          <w:r>
            <w:fldChar w:fldCharType="begin"/>
          </w:r>
          <w:r>
            <w:instrText xml:space="preserve"> PAGEREF _Toc29046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_Toc8808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_Toc8808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_Toc15472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_Toc15472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_Toc11763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_Toc11763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管理目标</w:t>
          </w:r>
          <w:r>
            <w:tab/>
          </w:r>
          <w:r>
            <w:fldChar w:fldCharType="begin"/>
          </w:r>
          <w:r>
            <w:instrText xml:space="preserve"> PAGEREF _Toc2053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_Toc26032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_Toc26032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_Toc25083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_Toc25083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_Toc25192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运维部</w:t>
          </w:r>
          <w:r>
            <w:tab/>
          </w:r>
          <w:r>
            <w:fldChar w:fldCharType="begin"/>
          </w:r>
          <w:r>
            <w:instrText xml:space="preserve"> PAGEREF _Toc25192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_Toc8617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研发部</w:t>
          </w:r>
          <w:r>
            <w:tab/>
          </w:r>
          <w:r>
            <w:fldChar w:fldCharType="begin"/>
          </w:r>
          <w:r>
            <w:instrText xml:space="preserve"> PAGEREF _Toc8617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人力资源部</w:t>
          </w:r>
          <w:r>
            <w:tab/>
          </w:r>
          <w:r>
            <w:fldChar w:fldCharType="begin"/>
          </w:r>
          <w:r>
            <w:instrText xml:space="preserve"> PAGEREF _Toc253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_Toc12201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2.5. 应急管理部</w:t>
          </w:r>
          <w:r>
            <w:tab/>
          </w:r>
          <w:r>
            <w:fldChar w:fldCharType="begin"/>
          </w:r>
          <w:r>
            <w:instrText xml:space="preserve"> PAGEREF _Toc12201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_Toc4573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管理者代表</w:t>
          </w:r>
          <w:r>
            <w:tab/>
          </w:r>
          <w:r>
            <w:fldChar w:fldCharType="begin"/>
          </w:r>
          <w:r>
            <w:instrText xml:space="preserve"> PAGEREF _Toc4573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_Toc25603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_Toc25603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_Toc30973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能力管理流程</w:t>
          </w:r>
          <w:r>
            <w:tab/>
          </w:r>
          <w:r>
            <w:fldChar w:fldCharType="begin"/>
          </w:r>
          <w:r>
            <w:instrText xml:space="preserve"> PAGEREF _Toc30973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_Toc30397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能力策划</w:t>
          </w:r>
          <w:r>
            <w:tab/>
          </w:r>
          <w:r>
            <w:fldChar w:fldCharType="begin"/>
          </w:r>
          <w:r>
            <w:instrText xml:space="preserve"> PAGEREF _Toc30397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_Toc27297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计划审批</w:t>
          </w:r>
          <w:r>
            <w:tab/>
          </w:r>
          <w:r>
            <w:fldChar w:fldCharType="begin"/>
          </w:r>
          <w:r>
            <w:instrText xml:space="preserve"> PAGEREF _Toc27297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_Toc7678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计划执行</w:t>
          </w:r>
          <w:r>
            <w:tab/>
          </w:r>
          <w:r>
            <w:fldChar w:fldCharType="begin"/>
          </w:r>
          <w:r>
            <w:instrText xml:space="preserve"> PAGEREF _Toc7678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_Toc4992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过程监督</w:t>
          </w:r>
          <w:r>
            <w:tab/>
          </w:r>
          <w:r>
            <w:fldChar w:fldCharType="begin"/>
          </w:r>
          <w:r>
            <w:instrText xml:space="preserve"> PAGEREF _Toc4992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_Toc3613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 年度总结</w:t>
          </w:r>
          <w:r>
            <w:tab/>
          </w:r>
          <w:r>
            <w:fldChar w:fldCharType="begin"/>
          </w:r>
          <w:r>
            <w:instrText xml:space="preserve"> PAGEREF _Toc3613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_Toc12045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3.6. 改进与优化</w:t>
          </w:r>
          <w:r>
            <w:tab/>
          </w:r>
          <w:r>
            <w:fldChar w:fldCharType="begin"/>
          </w:r>
          <w:r>
            <w:instrText xml:space="preserve"> PAGEREF _Toc12045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_Toc29524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附则</w:t>
          </w:r>
          <w:r>
            <w:tab/>
          </w:r>
          <w:r>
            <w:fldChar w:fldCharType="begin"/>
          </w:r>
          <w:r>
            <w:instrText xml:space="preserve"> PAGEREF _Toc29524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8808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15472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系统性地规划、建设、监督和改进桐乡华数广电网络有限公司（以下简称“公司”）的运维服务能力，确保公司拥有持续、稳定、高质量的服务交付实力，满足当前及未来业务发展、市场竞争与客户需求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11763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本制度适用于公司运维服务能力管理体系的建立、运行和改进活动，覆盖所有与运维服务能力相关的部门，包括但不限于：运维部、研发部、</w:t>
      </w:r>
      <w:r>
        <w:rPr>
          <w:rFonts w:hint="eastAsia"/>
          <w:lang w:val="en-US" w:eastAsia="zh-CN"/>
        </w:rPr>
        <w:t>采购部、</w:t>
      </w:r>
      <w:r>
        <w:rPr>
          <w:rFonts w:hint="default"/>
          <w:lang w:val="en-US" w:eastAsia="zh-CN"/>
        </w:rPr>
        <w:t>质量管理部、人力资源部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应急管理部。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2053"/>
      <w:r>
        <w:rPr>
          <w:rFonts w:hint="default"/>
          <w:lang w:val="en-US" w:eastAsia="zh-CN"/>
        </w:rPr>
        <w:t>管理目标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确保公司的运维服务能力（包括人员、技术、资源、过程</w:t>
      </w:r>
      <w:r>
        <w:rPr>
          <w:rFonts w:hint="eastAsia"/>
          <w:lang w:val="en-US" w:eastAsia="zh-CN"/>
        </w:rPr>
        <w:t>、交付和应急</w:t>
      </w:r>
      <w:r>
        <w:rPr>
          <w:rFonts w:hint="default"/>
          <w:lang w:val="en-US" w:eastAsia="zh-CN"/>
        </w:rPr>
        <w:t>）得到有效管理和持续提升，为需方提供符合甚至超越约定的高质量运维服务，支撑公司战略目标的实现。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26032"/>
      <w:r>
        <w:rPr>
          <w:rFonts w:hint="default"/>
          <w:lang w:val="en-US" w:eastAsia="zh-CN"/>
        </w:rPr>
        <w:t>组织与职责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25083"/>
      <w:r>
        <w:rPr>
          <w:rFonts w:hint="default"/>
          <w:lang w:val="en-US" w:eastAsia="zh-CN"/>
        </w:rPr>
        <w:t>质量管理部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作为运维服务能力管理的归口与监督部门。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牵头组织年度能力策划、协调跨部门资源。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监督能力管理计划的执行情况，跟踪问题改进。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组织年度能力总结，负责相关记录的归档与管理。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25192"/>
      <w:r>
        <w:rPr>
          <w:rFonts w:hint="default"/>
          <w:lang w:val="en-US" w:eastAsia="zh-CN"/>
        </w:rPr>
        <w:t>运维部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作为运维服务交付的主体，负责提出一线服务能力需求。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参与能力策划，负责制定与执行运维过程、工具、团队技能等方面的能力建设计划。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执行并反馈能力建设措施的效果。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8617"/>
      <w:r>
        <w:rPr>
          <w:rFonts w:hint="default"/>
          <w:lang w:val="en-US" w:eastAsia="zh-CN"/>
        </w:rPr>
        <w:t>研发部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负责技术能力的规划与研发。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参与能力策划，制定并执行技术研发、平台工具升级、新技术引入等计划。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为公司运维服务提供前瞻性技术储备与解决方案支持。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253"/>
      <w:r>
        <w:rPr>
          <w:rFonts w:hint="default"/>
          <w:lang w:val="en-US" w:eastAsia="zh-CN"/>
        </w:rPr>
        <w:t>人力资源部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负责人力资源能力的规划与建设。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参与能力策划，根据业务需求制定并执行人员招聘、培训、技能认证、绩效评估及团队建设计划。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确保人员能力与岗位要求相匹配。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12201"/>
      <w:r>
        <w:rPr>
          <w:rFonts w:hint="default"/>
          <w:lang w:val="en-US" w:eastAsia="zh-CN"/>
        </w:rPr>
        <w:t>应急管理部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负责应急响应与业务连续性能力的规划与建设。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参与能力策划，制定并完善应急预案、演练计划及恢复能力提升方案。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4573"/>
      <w:r>
        <w:rPr>
          <w:rFonts w:hint="eastAsia"/>
          <w:lang w:val="en-US" w:eastAsia="zh-CN"/>
        </w:rPr>
        <w:t>管理者代表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负责审批公司年度运维服务能力管理计划及相关规划。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提供战略指导与资源支持，听取能力管理监督汇报。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4" w:name="_Toc25603"/>
      <w:r>
        <w:rPr>
          <w:rFonts w:hint="eastAsia"/>
          <w:lang w:val="en-US" w:eastAsia="zh-CN"/>
        </w:rPr>
        <w:t>采购部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资源获取保障：作为运维服务能力建设的资源支撑部门，负责根据年度能力策划要求，实施运维工具、备件及第三方维保服务的采购工作。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供应商管理：负责建立和维护合格供应商名录，定期对提供运维支撑的供应商（如硬件厂商、集成商等）进行服务质量评估与考核，确保外部资源持续满足公司运维能力要求。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合同与交付管理：负责采购合同的签订与履行监控，确保供应商交付的资源（备件、软件授权等）符合合同约定的质量标准及服务级别协议（SLA）。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30973"/>
      <w:r>
        <w:rPr>
          <w:rFonts w:hint="default"/>
          <w:lang w:val="en-US" w:eastAsia="zh-CN"/>
        </w:rPr>
        <w:t>能力管理流程</w:t>
      </w:r>
      <w:bookmarkEnd w:id="15"/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30397"/>
      <w:r>
        <w:rPr>
          <w:rFonts w:hint="default"/>
          <w:lang w:val="en-US" w:eastAsia="zh-CN"/>
        </w:rPr>
        <w:t>能力策划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启动：每年第四季度，由质量管理部牵头启动下一年度的运维服务能力策划工作。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输入：策划需基于公司发展战略、市场分析、客户反馈、服务绩效回顾、现有能力评估及《运维服务目录》的要求。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各部门根据职责分工，提出本领域的能力建设需求与初步计划。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运维部聚焦服务交付流程、监控体系、知识库、现场支持等能力。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研发部聚焦技术路线图、研发项目、工具自动化、创新解决方案等能力。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人力资源部聚焦人才结构、技能图谱、培训体系、梯队建设等能力。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服务知识中的经验教训、服务数据统计结果（如工单趋势、故障分布等）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应急管理部聚焦预案完善、演练频次、资源储备等能力。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质量管理部汇总、平衡各部门计划，形成《年度运维服务能力管理计划》和《运维服务能力指标体系》草案；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研发部同步编制《年度技术研发规划》草案；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质量管理部将上述草案汇总后，统一提交公司管理层审批。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27297"/>
      <w:r>
        <w:rPr>
          <w:rFonts w:hint="default"/>
          <w:lang w:val="en-US" w:eastAsia="zh-CN"/>
        </w:rPr>
        <w:t>计划审批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质量管理部将上述草案提交公司管理层进行审批。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管理层从公司全局战略、资源投入、风险与收益等角度进行审议，确保计划的适宜性、完整性与可行性。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计划经批准后正式生效，作为本年度能力建设的纲领性文件。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7678"/>
      <w:r>
        <w:rPr>
          <w:rFonts w:hint="default"/>
          <w:lang w:val="en-US" w:eastAsia="zh-CN"/>
        </w:rPr>
        <w:t>计划执行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各责任部门（运维部、研发部、人力资源部、应急管理部等）依据获批的《年度运维服务能力管理计划》开展具体的能力建设与管理工作。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各部门需将计划任务分解到季度或月度，确保有序推进。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执行过程中应保留相关实施证据，如培训记录、项目文档、测试报告、采购清单等。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4992"/>
      <w:r>
        <w:rPr>
          <w:rFonts w:hint="default"/>
          <w:lang w:val="en-US" w:eastAsia="zh-CN"/>
        </w:rPr>
        <w:t>过程监督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质量管理部负责对能力管理计划的执行情况进行定期（如每季度）监督与检查。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监督内容包括：计划任务完成进度、资源使用情况、阶段性成果质量、遇到的问题与风险。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质量管理部将监督结果形成报告，向公司管理层汇报，并对发现的不符合项或偏差发出纠正/预防措施要求，跟踪其整改情况。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3613"/>
      <w:r>
        <w:rPr>
          <w:rFonts w:hint="default"/>
          <w:lang w:val="en-US" w:eastAsia="zh-CN"/>
        </w:rPr>
        <w:t>年度总结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每年年底或次年年初，由质量管理部组织，各相关部门共同参与，对全年运维服务能力管理计划的执行情况进行全面总结。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总结内容应包括：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计划目标达成情况分析。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能力指标体系完成情况评估。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技术研发成果回顾。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成功经验与最佳实践总结。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存在问题、不足及根本原因分析。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总结形成的报告、经验教训等知识资产，由质量管理部负责归档至公司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12045"/>
      <w:r>
        <w:rPr>
          <w:rFonts w:hint="default"/>
          <w:lang w:val="en-US" w:eastAsia="zh-CN"/>
        </w:rPr>
        <w:t>改进与优化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基于年度总结和监督过程中发现的问题，各责任部门制定具体的改进措施与计划。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质量管理部跟踪改进措施的实施与验证效果。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年度总结的输出应作为下一年度能力策划的关键输入，形成“策划（P）-执行（D）-检查（C）-改进（A）”的闭环管理，驱动公司运维服务能力持续提升。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2" w:name="_Toc29524"/>
      <w:r>
        <w:rPr>
          <w:rFonts w:hint="default"/>
          <w:lang w:val="en-US" w:eastAsia="zh-CN"/>
        </w:rPr>
        <w:t>附则</w:t>
      </w:r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本制度由质量管理部负责解释和修订。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w:type="default" r:id="rId6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FE8B92B"/>
    <w:multiLevelType w:val="singleLevel"/>
    <w:tmpl w:val="CFE8B92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3A8E5F6"/>
    <w:multiLevelType w:val="singleLevel"/>
    <w:tmpl w:val="D3A8E5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theme" Target="theme/theme1.xml" /><Relationship Id="rId8" Type="http://schemas.openxmlformats.org/officeDocument/2006/relationships/numbering" Target="numbering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2230</Words>
  <Characters>2351</Characters>
  <Application>Microsoft Office Word</Application>
  <DocSecurity>0</DocSecurity>
  <Lines>0</Lines>
  <Paragraphs>0</Paragraphs>
  <ScaleCrop>false</ScaleCrop>
  <Company/>
  <LinksUpToDate>false</LinksUpToDate>
  <CharactersWithSpaces>2393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2026-05-06T03:45:41Z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