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20736"/>
      <w:r>
        <w:drawing>
          <wp:anchor distT="0" distB="0" distL="114300" distR="114300" simplePos="0" relativeHeight="251660288"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xmlns:r="http://schemas.openxmlformats.org/officeDocument/2006/relationships" r:embed="rId4"/>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59264"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xmlns:r="http://schemas.openxmlformats.org/officeDocument/2006/relationships" r:embed="rId5"/>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8240"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xmlns:r="http://schemas.openxmlformats.org/officeDocument/2006/relationships" r:embed="rId6">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桐乡华数广电网络有限公司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11880"/>
      <w:r>
        <w:rPr>
          <w:rFonts w:hint="eastAsia"/>
          <w:lang w:val="en-US" w:eastAsia="zh-CN"/>
        </w:rPr>
        <w:t>运维服务质量管理制度</w:t>
      </w:r>
      <w:bookmarkEnd w:id="1"/>
    </w:p>
    <w:p>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right="0" w:firstLine="0" w:leftChars="0" w:rightChars="0" w:firstLineChars="0"/>
        <w:jc w:val="center"/>
        <w:textAlignment w:val="baseline"/>
        <w:rPr>
          <w:rFonts w:ascii="宋体" w:eastAsia="宋体" w:hAnsi="宋体" w:cs="宋体" w:hint="default"/>
          <w:sz w:val="24"/>
          <w:szCs w:val="24"/>
          <w:lang w:val="en-US" w:eastAsia="zh-CN"/>
        </w:rPr>
      </w:pPr>
      <w:r>
        <w:rPr>
          <w:rFonts w:ascii="宋体" w:eastAsia="宋体" w:hAnsi="宋体" w:cs="宋体"/>
          <w:b/>
          <w:bCs/>
          <w:spacing w:val="-3"/>
          <w:sz w:val="24"/>
          <w:szCs w:val="24"/>
        </w:rPr>
        <w:t>文件编号：</w:t>
      </w:r>
      <w:r>
        <w:rPr>
          <w:rFonts w:ascii="宋体" w:eastAsia="宋体" w:hAnsi="宋体" w:cs="宋体" w:hint="eastAsia"/>
          <w:b/>
          <w:bCs/>
          <w:spacing w:val="-3"/>
          <w:sz w:val="24"/>
          <w:szCs w:val="24"/>
          <w:lang w:val="en-US" w:eastAsia="zh-CN"/>
        </w:rPr>
        <w:t>TXHS</w:t>
      </w:r>
      <w:r>
        <w:rPr>
          <w:rFonts w:ascii="宋体" w:eastAsia="宋体" w:hAnsi="宋体" w:cs="宋体"/>
          <w:b/>
          <w:bCs/>
          <w:spacing w:val="-3"/>
          <w:sz w:val="24"/>
          <w:szCs w:val="24"/>
        </w:rPr>
        <w:t>-0</w:t>
      </w:r>
      <w:r>
        <w:rPr>
          <w:rFonts w:ascii="宋体" w:hAnsi="宋体" w:cs="宋体" w:hint="eastAsia"/>
          <w:b/>
          <w:bCs/>
          <w:spacing w:val="-3"/>
          <w:sz w:val="24"/>
          <w:szCs w:val="24"/>
          <w:lang w:val="en-US" w:eastAsia="zh-CN"/>
        </w:rPr>
        <w:t>4</w:t>
      </w:r>
      <w:r>
        <w:rPr>
          <w:rFonts w:ascii="宋体" w:eastAsia="宋体" w:hAnsi="宋体" w:cs="宋体"/>
          <w:b/>
          <w:bCs/>
          <w:spacing w:val="-3"/>
          <w:sz w:val="24"/>
          <w:szCs w:val="24"/>
        </w:rPr>
        <w:t>-01</w:t>
      </w: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2432"/>
        <w:gridCol w:w="2708"/>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2432"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质量管理部</w:t>
            </w:r>
          </w:p>
        </w:tc>
        <w:tc>
          <w:tcPr>
            <w:tcW w:w="2708"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810"/>
          <w:jc w:val="center"/>
        </w:trPr>
        <w:tc>
          <w:tcPr>
            <w:tcW w:w="2432"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asciiTheme="minorAscii" w:eastAsiaTheme="minorEastAsia" w:hAnsiTheme="minorAscii" w:hint="default"/>
                <w:spacing w:val="227"/>
                <w:sz w:val="21"/>
                <w:vertAlign w:val="baseline"/>
                <w:lang w:val="en-US" w:eastAsia="zh-CN"/>
              </w:rPr>
              <w:t>:</w:t>
            </w:r>
            <w:r>
              <w:rPr>
                <w:rFonts w:hint="eastAsia"/>
                <w:spacing w:val="66"/>
                <w:kern w:val="0"/>
                <w:u w:val="single"/>
                <w:vertAlign w:val="baseline"/>
                <w:lang w:val="en-US" w:eastAsia="zh-CN"/>
              </w:rPr>
              <w:t>V1.0</w:t>
            </w:r>
          </w:p>
        </w:tc>
        <w:tc>
          <w:tcPr>
            <w:tcW w:w="2708"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vertAlign w:val="baseline"/>
                <w:lang w:val="en-US" w:eastAsia="zh-CN"/>
              </w:rPr>
              <w:t>审核时间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635"/>
          <w:jc w:val="center"/>
        </w:trPr>
        <w:tc>
          <w:tcPr>
            <w:tcW w:w="2432"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吴亚红</w:t>
            </w:r>
          </w:p>
        </w:tc>
        <w:tc>
          <w:tcPr>
            <w:tcW w:w="2708"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821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1317"/>
        <w:gridCol w:w="972"/>
        <w:gridCol w:w="1575"/>
        <w:gridCol w:w="1829"/>
        <w:gridCol w:w="1606"/>
        <w:gridCol w:w="915"/>
      </w:tblGrid>
      <w:tr>
        <w:tblPrEx>
          <w:tblW w:w="821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jc w:val="center"/>
        </w:trPr>
        <w:tc>
          <w:tcPr>
            <w:tcW w:w="1317" w:type="dxa"/>
          </w:tcPr>
          <w:p>
            <w:pPr>
              <w:keepNext w:val="0"/>
              <w:keepLines w:val="0"/>
              <w:pageBreakBefore w:val="0"/>
              <w:widowControl w:val="0"/>
              <w:kinsoku w:val="0"/>
              <w:wordWrap/>
              <w:overflowPunct/>
              <w:autoSpaceDE w:val="0"/>
              <w:autoSpaceDN w:val="0"/>
              <w:bidi w:val="0"/>
              <w:adjustRightInd w:val="0"/>
              <w:snapToGrid w:val="0"/>
              <w:spacing w:before="176" w:line="228" w:lineRule="auto"/>
              <w:ind w:left="0" w:right="0" w:firstLine="0" w:leftChars="0" w:rightChars="0" w:firstLineChars="0"/>
              <w:jc w:val="center"/>
              <w:textAlignment w:val="baseline"/>
              <w:rPr>
                <w:rFonts w:ascii="宋体" w:eastAsia="宋体" w:hAnsi="宋体" w:cs="宋体"/>
                <w:sz w:val="20"/>
                <w:szCs w:val="20"/>
              </w:rPr>
            </w:pPr>
            <w:r>
              <w:rPr>
                <w:rFonts w:ascii="宋体" w:hAnsi="宋体" w:cs="宋体" w:hint="eastAsia"/>
                <w:spacing w:val="-14"/>
                <w:sz w:val="20"/>
                <w:szCs w:val="20"/>
                <w:lang w:val="en-US" w:eastAsia="zh-CN"/>
              </w:rPr>
              <w:t>修订</w:t>
            </w:r>
            <w:r>
              <w:rPr>
                <w:rFonts w:ascii="宋体" w:eastAsia="宋体" w:hAnsi="宋体" w:cs="宋体"/>
                <w:spacing w:val="-14"/>
                <w:sz w:val="20"/>
                <w:szCs w:val="20"/>
              </w:rPr>
              <w:t>日期</w:t>
            </w:r>
          </w:p>
        </w:tc>
        <w:tc>
          <w:tcPr>
            <w:tcW w:w="972" w:type="dxa"/>
          </w:tcPr>
          <w:p>
            <w:pPr>
              <w:keepNext w:val="0"/>
              <w:keepLines w:val="0"/>
              <w:pageBreakBefore w:val="0"/>
              <w:widowControl w:val="0"/>
              <w:kinsoku w:val="0"/>
              <w:wordWrap/>
              <w:overflowPunct/>
              <w:autoSpaceDE w:val="0"/>
              <w:autoSpaceDN w:val="0"/>
              <w:bidi w:val="0"/>
              <w:adjustRightInd w:val="0"/>
              <w:snapToGrid w:val="0"/>
              <w:spacing w:before="175" w:line="227"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sz w:val="20"/>
                <w:szCs w:val="20"/>
              </w:rPr>
              <w:t>版本</w:t>
            </w:r>
          </w:p>
        </w:tc>
        <w:tc>
          <w:tcPr>
            <w:tcW w:w="1575"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变更说明</w:t>
            </w:r>
          </w:p>
        </w:tc>
        <w:tc>
          <w:tcPr>
            <w:tcW w:w="1829"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hint="eastAsia"/>
                <w:spacing w:val="7"/>
                <w:sz w:val="20"/>
                <w:szCs w:val="20"/>
                <w:lang w:val="en-US" w:eastAsia="zh-CN"/>
              </w:rPr>
            </w:pPr>
            <w:r>
              <w:rPr>
                <w:rFonts w:ascii="宋体" w:hAnsi="宋体" w:cs="宋体" w:hint="eastAsia"/>
                <w:spacing w:val="7"/>
                <w:sz w:val="20"/>
                <w:szCs w:val="20"/>
                <w:lang w:val="en-US" w:eastAsia="zh-CN"/>
              </w:rPr>
              <w:t>修订人</w:t>
            </w:r>
          </w:p>
        </w:tc>
        <w:tc>
          <w:tcPr>
            <w:tcW w:w="1606"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hAnsi="宋体" w:cs="宋体" w:hint="default"/>
                <w:spacing w:val="7"/>
                <w:sz w:val="20"/>
                <w:szCs w:val="20"/>
                <w:lang w:val="en-US" w:eastAsia="zh-CN"/>
              </w:rPr>
            </w:pPr>
            <w:r>
              <w:rPr>
                <w:rFonts w:ascii="宋体" w:hAnsi="宋体" w:cs="宋体" w:hint="eastAsia"/>
                <w:spacing w:val="7"/>
                <w:sz w:val="20"/>
                <w:szCs w:val="20"/>
                <w:lang w:val="en-US" w:eastAsia="zh-CN"/>
              </w:rPr>
              <w:t>审批人</w:t>
            </w:r>
          </w:p>
        </w:tc>
        <w:tc>
          <w:tcPr>
            <w:tcW w:w="915" w:type="dxa"/>
          </w:tcPr>
          <w:p>
            <w:pPr>
              <w:keepNext w:val="0"/>
              <w:keepLines w:val="0"/>
              <w:pageBreakBefore w:val="0"/>
              <w:widowControl w:val="0"/>
              <w:kinsoku w:val="0"/>
              <w:wordWrap/>
              <w:overflowPunct/>
              <w:autoSpaceDE w:val="0"/>
              <w:autoSpaceDN w:val="0"/>
              <w:bidi w:val="0"/>
              <w:adjustRightInd w:val="0"/>
              <w:snapToGrid w:val="0"/>
              <w:spacing w:before="176" w:line="229"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批准人</w:t>
            </w:r>
          </w:p>
        </w:tc>
      </w:tr>
      <w:tr>
        <w:tblPrEx>
          <w:tblW w:w="8214" w:type="dxa"/>
          <w:jc w:val="center"/>
          <w:tblLayout w:type="fixed"/>
          <w:tblCellMar>
            <w:top w:w="0" w:type="dxa"/>
            <w:left w:w="0" w:type="dxa"/>
            <w:bottom w:w="0" w:type="dxa"/>
            <w:right w:w="0" w:type="dxa"/>
          </w:tblCellMar>
        </w:tblPrEx>
        <w:trPr>
          <w:trHeight w:val="516"/>
          <w:jc w:val="center"/>
        </w:trPr>
        <w:tc>
          <w:tcPr>
            <w:tcW w:w="1317"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hint="default"/>
                <w:snapToGrid w:val="0"/>
                <w:color w:val="000000"/>
                <w:kern w:val="0"/>
                <w:sz w:val="20"/>
                <w:szCs w:val="20"/>
                <w:lang w:val="en-US" w:eastAsia="en-US" w:bidi="ar-SA"/>
              </w:rPr>
            </w:pPr>
            <w:bookmarkStart w:id="2" w:name="_GoBack" w:colFirst="0" w:colLast="5"/>
            <w:r>
              <w:rPr>
                <w:rFonts w:ascii="宋体" w:eastAsia="宋体" w:hAnsi="宋体" w:cs="宋体"/>
                <w:spacing w:val="3"/>
                <w:position w:val="1"/>
                <w:sz w:val="20"/>
                <w:szCs w:val="20"/>
              </w:rPr>
              <w:t>2025.01.</w:t>
            </w:r>
            <w:r>
              <w:rPr>
                <w:rFonts w:ascii="宋体" w:hAnsi="宋体" w:cs="宋体" w:hint="eastAsia"/>
                <w:spacing w:val="3"/>
                <w:position w:val="1"/>
                <w:sz w:val="20"/>
                <w:szCs w:val="20"/>
                <w:lang w:val="en-US" w:eastAsia="zh-CN"/>
              </w:rPr>
              <w:t>10</w:t>
            </w:r>
          </w:p>
        </w:tc>
        <w:tc>
          <w:tcPr>
            <w:tcW w:w="972"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snapToGrid w:val="0"/>
                <w:color w:val="000000"/>
                <w:kern w:val="0"/>
                <w:sz w:val="20"/>
                <w:szCs w:val="20"/>
                <w:lang w:val="en-US" w:eastAsia="en-US" w:bidi="ar-SA"/>
              </w:rPr>
            </w:pPr>
            <w:r>
              <w:rPr>
                <w:rFonts w:ascii="宋体" w:eastAsia="宋体" w:hAnsi="宋体" w:cs="宋体"/>
                <w:spacing w:val="4"/>
                <w:position w:val="1"/>
                <w:sz w:val="20"/>
                <w:szCs w:val="20"/>
              </w:rPr>
              <w:t>V1.0</w:t>
            </w:r>
          </w:p>
        </w:tc>
        <w:tc>
          <w:tcPr>
            <w:tcW w:w="1575"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napToGrid w:val="0"/>
                <w:color w:val="000000"/>
                <w:kern w:val="0"/>
                <w:sz w:val="20"/>
                <w:szCs w:val="20"/>
                <w:lang w:val="en-US" w:eastAsia="en-US" w:bidi="ar-SA"/>
              </w:rPr>
            </w:pPr>
            <w:r>
              <w:rPr>
                <w:rFonts w:ascii="宋体" w:eastAsia="宋体" w:hAnsi="宋体" w:cs="宋体"/>
                <w:spacing w:val="200"/>
                <w:kern w:val="0"/>
                <w:sz w:val="20"/>
                <w:szCs w:val="20"/>
              </w:rPr>
              <w:t>新</w:t>
            </w:r>
            <w:r>
              <w:rPr>
                <w:rFonts w:ascii="宋体" w:eastAsia="宋体" w:hAnsi="宋体" w:cs="宋体"/>
                <w:spacing w:val="0"/>
                <w:kern w:val="0"/>
                <w:sz w:val="20"/>
                <w:szCs w:val="20"/>
              </w:rPr>
              <w:t>建</w:t>
            </w:r>
          </w:p>
        </w:tc>
        <w:tc>
          <w:tcPr>
            <w:tcW w:w="1829"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napToGrid w:val="0"/>
                <w:color w:val="000000"/>
                <w:spacing w:val="200"/>
                <w:kern w:val="0"/>
                <w:sz w:val="20"/>
                <w:szCs w:val="20"/>
                <w:lang w:val="en-US" w:eastAsia="en-US" w:bidi="ar-SA"/>
              </w:rPr>
            </w:pPr>
            <w:r>
              <w:rPr>
                <w:rFonts w:asciiTheme="minorAscii" w:eastAsiaTheme="minorEastAsia" w:hAnsiTheme="minorAscii" w:hint="eastAsia"/>
                <w:spacing w:val="0"/>
                <w:kern w:val="0"/>
                <w:sz w:val="21"/>
                <w:vertAlign w:val="baseline"/>
                <w:lang w:val="en-US" w:eastAsia="zh-CN"/>
              </w:rPr>
              <w:t>李伟</w:t>
            </w:r>
          </w:p>
        </w:tc>
        <w:tc>
          <w:tcPr>
            <w:tcW w:w="1606"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napToGrid w:val="0"/>
                <w:color w:val="000000"/>
                <w:spacing w:val="200"/>
                <w:kern w:val="0"/>
                <w:sz w:val="20"/>
                <w:szCs w:val="20"/>
                <w:lang w:val="en-US" w:eastAsia="en-US" w:bidi="ar-SA"/>
              </w:rPr>
            </w:pPr>
            <w:r>
              <w:rPr>
                <w:rFonts w:asciiTheme="minorAscii" w:eastAsiaTheme="minorEastAsia" w:hAnsiTheme="minorAscii" w:hint="eastAsia"/>
                <w:spacing w:val="0"/>
                <w:kern w:val="0"/>
                <w:sz w:val="21"/>
                <w:vertAlign w:val="baseline"/>
                <w:lang w:val="en-US" w:eastAsia="zh-CN"/>
              </w:rPr>
              <w:t>陈凯</w:t>
            </w:r>
          </w:p>
        </w:tc>
        <w:tc>
          <w:tcPr>
            <w:tcW w:w="915"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napToGrid w:val="0"/>
                <w:color w:val="000000"/>
                <w:kern w:val="0"/>
                <w:sz w:val="20"/>
                <w:szCs w:val="20"/>
                <w:lang w:val="en-US" w:eastAsia="en-US" w:bidi="ar-SA"/>
              </w:rPr>
            </w:pPr>
            <w:r>
              <w:rPr>
                <w:rFonts w:asciiTheme="minorAscii" w:eastAsiaTheme="minorEastAsia" w:hAnsiTheme="minorAscii" w:hint="eastAsia"/>
                <w:spacing w:val="0"/>
                <w:kern w:val="0"/>
                <w:sz w:val="21"/>
                <w:vertAlign w:val="baseline"/>
                <w:lang w:val="en-US" w:eastAsia="zh-CN"/>
              </w:rPr>
              <w:t>吴亚红</w:t>
            </w:r>
          </w:p>
        </w:tc>
      </w:tr>
      <w:tr>
        <w:tblPrEx>
          <w:tblW w:w="8214" w:type="dxa"/>
          <w:jc w:val="center"/>
          <w:tblLayout w:type="fixed"/>
          <w:tblCellMar>
            <w:top w:w="0" w:type="dxa"/>
            <w:left w:w="0" w:type="dxa"/>
            <w:bottom w:w="0" w:type="dxa"/>
            <w:right w:w="0" w:type="dxa"/>
          </w:tblCellMar>
        </w:tblPrEx>
        <w:trPr>
          <w:trHeight w:val="556"/>
          <w:jc w:val="center"/>
        </w:trPr>
        <w:tc>
          <w:tcPr>
            <w:tcW w:w="1317" w:type="dxa"/>
            <w:shd w:val="clear" w:color="auto" w:fill="auto"/>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hint="default"/>
                <w:snapToGrid w:val="0"/>
                <w:color w:val="000000"/>
                <w:kern w:val="0"/>
                <w:sz w:val="20"/>
                <w:szCs w:val="20"/>
                <w:lang w:val="en-US" w:eastAsia="en-US" w:bidi="ar-SA"/>
              </w:rPr>
            </w:pPr>
            <w:bookmarkEnd w:id="2"/>
          </w:p>
        </w:tc>
        <w:tc>
          <w:tcPr>
            <w:tcW w:w="972" w:type="dxa"/>
            <w:shd w:val="clear" w:color="auto" w:fill="auto"/>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snapToGrid w:val="0"/>
                <w:color w:val="000000"/>
                <w:kern w:val="0"/>
                <w:sz w:val="20"/>
                <w:szCs w:val="20"/>
                <w:lang w:val="en-US" w:eastAsia="en-US" w:bidi="ar-SA"/>
              </w:rPr>
            </w:pPr>
          </w:p>
        </w:tc>
        <w:tc>
          <w:tcPr>
            <w:tcW w:w="1575" w:type="dxa"/>
            <w:shd w:val="clear" w:color="auto" w:fill="auto"/>
          </w:tcPr>
          <w:p>
            <w:pPr>
              <w:keepNext w:val="0"/>
              <w:keepLines w:val="0"/>
              <w:pageBreakBefore w:val="0"/>
              <w:widowControl w:val="0"/>
              <w:kinsoku w:val="0"/>
              <w:wordWrap/>
              <w:overflowPunct/>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hint="default"/>
                <w:snapToGrid w:val="0"/>
                <w:color w:val="000000"/>
                <w:kern w:val="0"/>
                <w:sz w:val="20"/>
                <w:szCs w:val="20"/>
                <w:lang w:val="en-US" w:eastAsia="zh-CN" w:bidi="ar-SA"/>
              </w:rPr>
            </w:pPr>
          </w:p>
        </w:tc>
        <w:tc>
          <w:tcPr>
            <w:tcW w:w="1829" w:type="dxa"/>
            <w:shd w:val="clear" w:color="auto" w:fill="auto"/>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napToGrid w:val="0"/>
                <w:color w:val="000000"/>
                <w:spacing w:val="200"/>
                <w:kern w:val="0"/>
                <w:sz w:val="20"/>
                <w:szCs w:val="20"/>
                <w:lang w:val="en-US" w:eastAsia="en-US" w:bidi="ar-SA"/>
              </w:rPr>
            </w:pPr>
          </w:p>
        </w:tc>
        <w:tc>
          <w:tcPr>
            <w:tcW w:w="1606" w:type="dxa"/>
            <w:shd w:val="clear" w:color="auto" w:fill="auto"/>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napToGrid w:val="0"/>
                <w:color w:val="000000"/>
                <w:spacing w:val="200"/>
                <w:kern w:val="0"/>
                <w:sz w:val="20"/>
                <w:szCs w:val="20"/>
                <w:lang w:val="en-US" w:eastAsia="en-US" w:bidi="ar-SA"/>
              </w:rPr>
            </w:pPr>
          </w:p>
        </w:tc>
        <w:tc>
          <w:tcPr>
            <w:tcW w:w="915" w:type="dxa"/>
            <w:shd w:val="clear" w:color="auto" w:fill="auto"/>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napToGrid w:val="0"/>
                <w:color w:val="000000"/>
                <w:kern w:val="0"/>
                <w:sz w:val="20"/>
                <w:szCs w:val="20"/>
                <w:lang w:val="en-US" w:eastAsia="en-US" w:bidi="ar-SA"/>
              </w:rPr>
            </w:pPr>
          </w:p>
        </w:tc>
      </w:tr>
      <w:tr>
        <w:tblPrEx>
          <w:tblW w:w="8214" w:type="dxa"/>
          <w:jc w:val="center"/>
          <w:tblLayout w:type="fixed"/>
          <w:tblCellMar>
            <w:top w:w="0" w:type="dxa"/>
            <w:left w:w="0" w:type="dxa"/>
            <w:bottom w:w="0" w:type="dxa"/>
            <w:right w:w="0" w:type="dxa"/>
          </w:tblCellMar>
        </w:tblPrEx>
        <w:trPr>
          <w:trHeight w:val="556"/>
          <w:jc w:val="center"/>
        </w:trPr>
        <w:tc>
          <w:tcPr>
            <w:tcW w:w="1317"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r>
        <w:tblPrEx>
          <w:tblW w:w="8214" w:type="dxa"/>
          <w:jc w:val="center"/>
          <w:tblLayout w:type="fixed"/>
          <w:tblCellMar>
            <w:top w:w="0" w:type="dxa"/>
            <w:left w:w="0" w:type="dxa"/>
            <w:bottom w:w="0" w:type="dxa"/>
            <w:right w:w="0" w:type="dxa"/>
          </w:tblCellMar>
        </w:tblPrEx>
        <w:trPr>
          <w:trHeight w:val="557"/>
          <w:jc w:val="center"/>
        </w:trPr>
        <w:tc>
          <w:tcPr>
            <w:tcW w:w="1317"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eastAsia="宋体" w:hAnsi="宋体" w:cs="宋体" w:hint="eastAsia"/>
          <w:snapToGrid w:val="0"/>
          <w:color w:val="000000"/>
          <w:kern w:val="0"/>
          <w:sz w:val="21"/>
          <w:szCs w:val="21"/>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336" w:lineRule="auto"/>
            <w:ind w:left="0" w:right="0" w:firstLine="0" w:leftChars="0" w:rightChars="0" w:firstLineChars="0"/>
            <w:jc w:val="center"/>
            <w:textAlignment w:val="baseline"/>
            <w:rPr>
              <w:rFonts w:ascii="宋体" w:eastAsia="宋体" w:hAnsi="宋体" w:cs="宋体" w:hint="eastAsia"/>
              <w:sz w:val="21"/>
              <w:szCs w:val="21"/>
            </w:rPr>
          </w:pPr>
          <w:r>
            <w:rPr>
              <w:rFonts w:ascii="宋体" w:eastAsia="宋体" w:hAnsi="宋体" w:cs="宋体" w:hint="eastAsia"/>
              <w:sz w:val="21"/>
              <w:szCs w:val="21"/>
            </w:rPr>
            <w:t>目录</w:t>
          </w:r>
        </w:p>
        <w:p>
          <w:pPr>
            <w:pStyle w:val="TOC1"/>
            <w:tabs>
              <w:tab w:val="right" w:leader="dot" w:pos="8306"/>
            </w:tabs>
          </w:pPr>
          <w:r>
            <w:rPr>
              <w:rFonts w:ascii="宋体" w:eastAsia="宋体" w:hAnsi="宋体" w:cs="宋体" w:hint="eastAsia"/>
              <w:sz w:val="21"/>
              <w:szCs w:val="21"/>
            </w:rPr>
            <w:fldChar w:fldCharType="begin"/>
          </w:r>
          <w:r>
            <w:rPr>
              <w:rFonts w:ascii="宋体" w:eastAsia="宋体" w:hAnsi="宋体" w:cs="宋体" w:hint="eastAsia"/>
              <w:sz w:val="21"/>
              <w:szCs w:val="21"/>
            </w:rPr>
            <w:instrText xml:space="preserve">TOC \o "1-3" \h \u </w:instrText>
          </w:r>
          <w:r>
            <w:rPr>
              <w:rFonts w:ascii="宋体" w:eastAsia="宋体" w:hAnsi="宋体" w:cs="宋体" w:hint="eastAsia"/>
              <w:sz w:val="21"/>
              <w:szCs w:val="21"/>
            </w:rPr>
            <w:fldChar w:fldCharType="separate"/>
          </w:r>
          <w:r>
            <w:rPr>
              <w:rFonts w:ascii="宋体" w:eastAsia="宋体" w:hAnsi="宋体" w:cs="宋体" w:hint="eastAsia"/>
              <w:szCs w:val="21"/>
            </w:rPr>
            <w:fldChar w:fldCharType="begin"/>
          </w:r>
          <w:r>
            <w:rPr>
              <w:rFonts w:ascii="宋体" w:eastAsia="宋体" w:hAnsi="宋体" w:cs="宋体" w:hint="eastAsia"/>
              <w:szCs w:val="21"/>
            </w:rPr>
            <w:instrText xml:space="preserve"> HYPERLINK \l _Toc20736 </w:instrText>
          </w:r>
          <w:r>
            <w:rPr>
              <w:rFonts w:ascii="宋体" w:eastAsia="宋体" w:hAnsi="宋体" w:cs="宋体" w:hint="eastAsia"/>
              <w:szCs w:val="21"/>
            </w:rPr>
            <w:fldChar w:fldCharType="separate"/>
          </w:r>
          <w:r>
            <w:rPr>
              <w:rFonts w:hint="eastAsia"/>
              <w:lang w:val="en-US" w:eastAsia="zh-CN"/>
            </w:rPr>
            <w:t>桐乡华数广电网络有限公司</w:t>
          </w:r>
          <w:r>
            <w:tab/>
          </w:r>
          <w:r>
            <w:fldChar w:fldCharType="begin"/>
          </w:r>
          <w:r>
            <w:instrText xml:space="preserve"> PAGEREF _Toc20736 \h </w:instrText>
          </w:r>
          <w:r>
            <w:fldChar w:fldCharType="separate"/>
          </w:r>
          <w:r>
            <w:t>1</w:t>
          </w:r>
          <w:r>
            <w:fldChar w:fldCharType="end"/>
          </w:r>
          <w:r>
            <w:rPr>
              <w:rFonts w:ascii="宋体" w:eastAsia="宋体" w:hAnsi="宋体" w:cs="宋体" w:hint="eastAsia"/>
              <w:szCs w:val="21"/>
            </w:rPr>
            <w:fldChar w:fldCharType="end"/>
          </w:r>
        </w:p>
        <w:p>
          <w:pPr>
            <w:pStyle w:val="TOC1"/>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_Toc11880 </w:instrText>
          </w:r>
          <w:r>
            <w:rPr>
              <w:rFonts w:ascii="宋体" w:eastAsia="宋体" w:hAnsi="宋体" w:cs="宋体" w:hint="eastAsia"/>
              <w:szCs w:val="21"/>
            </w:rPr>
            <w:fldChar w:fldCharType="separate"/>
          </w:r>
          <w:r>
            <w:rPr>
              <w:rFonts w:hint="eastAsia"/>
              <w:lang w:val="en-US" w:eastAsia="zh-CN"/>
            </w:rPr>
            <w:t>运维服务质量管理制度</w:t>
          </w:r>
          <w:r>
            <w:tab/>
          </w:r>
          <w:r>
            <w:fldChar w:fldCharType="begin"/>
          </w:r>
          <w:r>
            <w:instrText xml:space="preserve"> PAGEREF _Toc11880 \h </w:instrText>
          </w:r>
          <w:r>
            <w:fldChar w:fldCharType="separate"/>
          </w:r>
          <w:r>
            <w:t>1</w:t>
          </w:r>
          <w:r>
            <w:fldChar w:fldCharType="end"/>
          </w:r>
          <w:r>
            <w:rPr>
              <w:rFonts w:ascii="宋体" w:eastAsia="宋体" w:hAnsi="宋体" w:cs="宋体" w:hint="eastAsia"/>
              <w:szCs w:val="21"/>
            </w:rPr>
            <w:fldChar w:fldCharType="end"/>
          </w:r>
        </w:p>
        <w:p>
          <w:pPr>
            <w:pStyle w:val="TOC1"/>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_Toc8260 </w:instrText>
          </w:r>
          <w:r>
            <w:rPr>
              <w:rFonts w:ascii="宋体" w:eastAsia="宋体" w:hAnsi="宋体" w:cs="宋体" w:hint="eastAsia"/>
              <w:szCs w:val="21"/>
            </w:rPr>
            <w:fldChar w:fldCharType="separate"/>
          </w:r>
          <w:r>
            <w:rPr>
              <w:rFonts w:hint="default"/>
              <w:lang w:val="en-US" w:eastAsia="zh-CN"/>
            </w:rPr>
            <w:t xml:space="preserve">1. </w:t>
          </w:r>
          <w:r>
            <w:rPr>
              <w:rFonts w:hint="eastAsia"/>
              <w:lang w:val="en-US" w:eastAsia="zh-CN"/>
            </w:rPr>
            <w:t>总则</w:t>
          </w:r>
          <w:r>
            <w:tab/>
          </w:r>
          <w:r>
            <w:fldChar w:fldCharType="begin"/>
          </w:r>
          <w:r>
            <w:instrText xml:space="preserve"> PAGEREF _Toc8260 \h </w:instrText>
          </w:r>
          <w:r>
            <w:fldChar w:fldCharType="separate"/>
          </w:r>
          <w:r>
            <w:t>5</w:t>
          </w:r>
          <w:r>
            <w:fldChar w:fldCharType="end"/>
          </w:r>
          <w:r>
            <w:rPr>
              <w:rFonts w:ascii="宋体" w:eastAsia="宋体" w:hAnsi="宋体" w:cs="宋体" w:hint="eastAsia"/>
              <w:szCs w:val="21"/>
            </w:rPr>
            <w:fldChar w:fldCharType="end"/>
          </w:r>
        </w:p>
        <w:p>
          <w:pPr>
            <w:pStyle w:val="TOC2"/>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_Toc5096 </w:instrText>
          </w:r>
          <w:r>
            <w:rPr>
              <w:rFonts w:ascii="宋体" w:eastAsia="宋体" w:hAnsi="宋体" w:cs="宋体" w:hint="eastAsia"/>
              <w:szCs w:val="21"/>
            </w:rPr>
            <w:fldChar w:fldCharType="separate"/>
          </w:r>
          <w:r>
            <w:rPr>
              <w:rFonts w:hint="default"/>
              <w:lang w:val="en-US" w:eastAsia="zh-CN"/>
            </w:rPr>
            <w:t xml:space="preserve">1.1. </w:t>
          </w:r>
          <w:r>
            <w:rPr>
              <w:rFonts w:hint="eastAsia"/>
              <w:lang w:val="en-US" w:eastAsia="zh-CN"/>
            </w:rPr>
            <w:t>制度简介</w:t>
          </w:r>
          <w:r>
            <w:tab/>
          </w:r>
          <w:r>
            <w:fldChar w:fldCharType="begin"/>
          </w:r>
          <w:r>
            <w:instrText xml:space="preserve"> PAGEREF _Toc5096 \h </w:instrText>
          </w:r>
          <w:r>
            <w:fldChar w:fldCharType="separate"/>
          </w:r>
          <w:r>
            <w:t>5</w:t>
          </w:r>
          <w:r>
            <w:fldChar w:fldCharType="end"/>
          </w:r>
          <w:r>
            <w:rPr>
              <w:rFonts w:ascii="宋体" w:eastAsia="宋体" w:hAnsi="宋体" w:cs="宋体" w:hint="eastAsia"/>
              <w:szCs w:val="21"/>
            </w:rPr>
            <w:fldChar w:fldCharType="end"/>
          </w:r>
        </w:p>
        <w:p>
          <w:pPr>
            <w:pStyle w:val="TOC2"/>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_Toc26376 </w:instrText>
          </w:r>
          <w:r>
            <w:rPr>
              <w:rFonts w:ascii="宋体" w:eastAsia="宋体" w:hAnsi="宋体" w:cs="宋体" w:hint="eastAsia"/>
              <w:szCs w:val="21"/>
            </w:rPr>
            <w:fldChar w:fldCharType="separate"/>
          </w:r>
          <w:r>
            <w:rPr>
              <w:rFonts w:hint="default"/>
              <w:lang w:val="en-US" w:eastAsia="zh-CN"/>
            </w:rPr>
            <w:t xml:space="preserve">1.2. </w:t>
          </w:r>
          <w:r>
            <w:rPr>
              <w:rFonts w:hint="eastAsia"/>
              <w:lang w:val="en-US" w:eastAsia="zh-CN"/>
            </w:rPr>
            <w:t>制度目标</w:t>
          </w:r>
          <w:r>
            <w:tab/>
          </w:r>
          <w:r>
            <w:fldChar w:fldCharType="begin"/>
          </w:r>
          <w:r>
            <w:instrText xml:space="preserve"> PAGEREF _Toc26376 \h </w:instrText>
          </w:r>
          <w:r>
            <w:fldChar w:fldCharType="separate"/>
          </w:r>
          <w:r>
            <w:t>5</w:t>
          </w:r>
          <w:r>
            <w:fldChar w:fldCharType="end"/>
          </w:r>
          <w:r>
            <w:rPr>
              <w:rFonts w:ascii="宋体" w:eastAsia="宋体" w:hAnsi="宋体" w:cs="宋体" w:hint="eastAsia"/>
              <w:szCs w:val="21"/>
            </w:rPr>
            <w:fldChar w:fldCharType="end"/>
          </w:r>
        </w:p>
        <w:p>
          <w:pPr>
            <w:pStyle w:val="TOC2"/>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_Toc1650 </w:instrText>
          </w:r>
          <w:r>
            <w:rPr>
              <w:rFonts w:ascii="宋体" w:eastAsia="宋体" w:hAnsi="宋体" w:cs="宋体" w:hint="eastAsia"/>
              <w:szCs w:val="21"/>
            </w:rPr>
            <w:fldChar w:fldCharType="separate"/>
          </w:r>
          <w:r>
            <w:rPr>
              <w:rFonts w:hint="default"/>
              <w:lang w:val="en-US" w:eastAsia="zh-CN"/>
            </w:rPr>
            <w:t xml:space="preserve">1.3. </w:t>
          </w:r>
          <w:r>
            <w:rPr>
              <w:rFonts w:hint="eastAsia"/>
              <w:lang w:val="en-US" w:eastAsia="zh-CN"/>
            </w:rPr>
            <w:t>管理概述</w:t>
          </w:r>
          <w:r>
            <w:tab/>
          </w:r>
          <w:r>
            <w:fldChar w:fldCharType="begin"/>
          </w:r>
          <w:r>
            <w:instrText xml:space="preserve"> PAGEREF _Toc1650 \h </w:instrText>
          </w:r>
          <w:r>
            <w:fldChar w:fldCharType="separate"/>
          </w:r>
          <w:r>
            <w:t>5</w:t>
          </w:r>
          <w:r>
            <w:fldChar w:fldCharType="end"/>
          </w:r>
          <w:r>
            <w:rPr>
              <w:rFonts w:ascii="宋体" w:eastAsia="宋体" w:hAnsi="宋体" w:cs="宋体" w:hint="eastAsia"/>
              <w:szCs w:val="21"/>
            </w:rPr>
            <w:fldChar w:fldCharType="end"/>
          </w:r>
        </w:p>
        <w:p>
          <w:pPr>
            <w:pStyle w:val="TOC2"/>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_Toc13569 </w:instrText>
          </w:r>
          <w:r>
            <w:rPr>
              <w:rFonts w:ascii="宋体" w:eastAsia="宋体" w:hAnsi="宋体" w:cs="宋体" w:hint="eastAsia"/>
              <w:szCs w:val="21"/>
            </w:rPr>
            <w:fldChar w:fldCharType="separate"/>
          </w:r>
          <w:r>
            <w:rPr>
              <w:rFonts w:hint="default"/>
              <w:lang w:val="en-US" w:eastAsia="zh-CN"/>
            </w:rPr>
            <w:t xml:space="preserve">1.4. </w:t>
          </w:r>
          <w:r>
            <w:rPr>
              <w:rFonts w:hint="eastAsia"/>
              <w:lang w:val="en-US" w:eastAsia="zh-CN"/>
            </w:rPr>
            <w:t>适用范围</w:t>
          </w:r>
          <w:r>
            <w:tab/>
          </w:r>
          <w:r>
            <w:fldChar w:fldCharType="begin"/>
          </w:r>
          <w:r>
            <w:instrText xml:space="preserve"> PAGEREF _Toc13569 \h </w:instrText>
          </w:r>
          <w:r>
            <w:fldChar w:fldCharType="separate"/>
          </w:r>
          <w:r>
            <w:t>5</w:t>
          </w:r>
          <w:r>
            <w:fldChar w:fldCharType="end"/>
          </w:r>
          <w:r>
            <w:rPr>
              <w:rFonts w:ascii="宋体" w:eastAsia="宋体" w:hAnsi="宋体" w:cs="宋体" w:hint="eastAsia"/>
              <w:szCs w:val="21"/>
            </w:rPr>
            <w:fldChar w:fldCharType="end"/>
          </w:r>
        </w:p>
        <w:p>
          <w:pPr>
            <w:pStyle w:val="TOC1"/>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_Toc15713 </w:instrText>
          </w:r>
          <w:r>
            <w:rPr>
              <w:rFonts w:ascii="宋体" w:eastAsia="宋体" w:hAnsi="宋体" w:cs="宋体" w:hint="eastAsia"/>
              <w:szCs w:val="21"/>
            </w:rPr>
            <w:fldChar w:fldCharType="separate"/>
          </w:r>
          <w:r>
            <w:rPr>
              <w:rFonts w:hint="default"/>
              <w:lang w:val="en-US" w:eastAsia="zh-CN"/>
            </w:rPr>
            <w:t xml:space="preserve">2. </w:t>
          </w:r>
          <w:r>
            <w:rPr>
              <w:rFonts w:hint="eastAsia"/>
              <w:lang w:val="en-US" w:eastAsia="zh-CN"/>
            </w:rPr>
            <w:t>管理目标与原则</w:t>
          </w:r>
          <w:r>
            <w:tab/>
          </w:r>
          <w:r>
            <w:fldChar w:fldCharType="begin"/>
          </w:r>
          <w:r>
            <w:instrText xml:space="preserve"> PAGEREF _Toc15713 \h </w:instrText>
          </w:r>
          <w:r>
            <w:fldChar w:fldCharType="separate"/>
          </w:r>
          <w:r>
            <w:t>5</w:t>
          </w:r>
          <w:r>
            <w:fldChar w:fldCharType="end"/>
          </w:r>
          <w:r>
            <w:rPr>
              <w:rFonts w:ascii="宋体" w:eastAsia="宋体" w:hAnsi="宋体" w:cs="宋体" w:hint="eastAsia"/>
              <w:szCs w:val="21"/>
            </w:rPr>
            <w:fldChar w:fldCharType="end"/>
          </w:r>
        </w:p>
        <w:p>
          <w:pPr>
            <w:pStyle w:val="TOC1"/>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_Toc30924 </w:instrText>
          </w:r>
          <w:r>
            <w:rPr>
              <w:rFonts w:ascii="宋体" w:eastAsia="宋体" w:hAnsi="宋体" w:cs="宋体" w:hint="eastAsia"/>
              <w:szCs w:val="21"/>
            </w:rPr>
            <w:fldChar w:fldCharType="separate"/>
          </w:r>
          <w:r>
            <w:rPr>
              <w:rFonts w:hint="default"/>
              <w:lang w:val="en-US" w:eastAsia="zh-CN"/>
            </w:rPr>
            <w:t xml:space="preserve">3. </w:t>
          </w:r>
          <w:r>
            <w:rPr>
              <w:rFonts w:hint="eastAsia"/>
              <w:lang w:val="en-US" w:eastAsia="zh-CN"/>
            </w:rPr>
            <w:t>组织与职责</w:t>
          </w:r>
          <w:r>
            <w:tab/>
          </w:r>
          <w:r>
            <w:fldChar w:fldCharType="begin"/>
          </w:r>
          <w:r>
            <w:instrText xml:space="preserve"> PAGEREF _Toc30924 \h </w:instrText>
          </w:r>
          <w:r>
            <w:fldChar w:fldCharType="separate"/>
          </w:r>
          <w:r>
            <w:t>6</w:t>
          </w:r>
          <w:r>
            <w:fldChar w:fldCharType="end"/>
          </w:r>
          <w:r>
            <w:rPr>
              <w:rFonts w:ascii="宋体" w:eastAsia="宋体" w:hAnsi="宋体" w:cs="宋体" w:hint="eastAsia"/>
              <w:szCs w:val="21"/>
            </w:rPr>
            <w:fldChar w:fldCharType="end"/>
          </w:r>
        </w:p>
        <w:p>
          <w:pPr>
            <w:pStyle w:val="TOC2"/>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_Toc22234 </w:instrText>
          </w:r>
          <w:r>
            <w:rPr>
              <w:rFonts w:ascii="宋体" w:eastAsia="宋体" w:hAnsi="宋体" w:cs="宋体" w:hint="eastAsia"/>
              <w:szCs w:val="21"/>
            </w:rPr>
            <w:fldChar w:fldCharType="separate"/>
          </w:r>
          <w:r>
            <w:rPr>
              <w:rFonts w:hint="default"/>
              <w:lang w:val="en-US" w:eastAsia="zh-CN"/>
            </w:rPr>
            <w:t xml:space="preserve">3.1. </w:t>
          </w:r>
          <w:r>
            <w:rPr>
              <w:rFonts w:hint="eastAsia"/>
              <w:lang w:val="en-US" w:eastAsia="zh-CN"/>
            </w:rPr>
            <w:t>质量管理部</w:t>
          </w:r>
          <w:r>
            <w:tab/>
          </w:r>
          <w:r>
            <w:fldChar w:fldCharType="begin"/>
          </w:r>
          <w:r>
            <w:instrText xml:space="preserve"> PAGEREF _Toc22234 \h </w:instrText>
          </w:r>
          <w:r>
            <w:fldChar w:fldCharType="separate"/>
          </w:r>
          <w:r>
            <w:t>6</w:t>
          </w:r>
          <w:r>
            <w:fldChar w:fldCharType="end"/>
          </w:r>
          <w:r>
            <w:rPr>
              <w:rFonts w:ascii="宋体" w:eastAsia="宋体" w:hAnsi="宋体" w:cs="宋体" w:hint="eastAsia"/>
              <w:szCs w:val="21"/>
            </w:rPr>
            <w:fldChar w:fldCharType="end"/>
          </w:r>
        </w:p>
        <w:p>
          <w:pPr>
            <w:pStyle w:val="TOC2"/>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_Toc8689 </w:instrText>
          </w:r>
          <w:r>
            <w:rPr>
              <w:rFonts w:ascii="宋体" w:eastAsia="宋体" w:hAnsi="宋体" w:cs="宋体" w:hint="eastAsia"/>
              <w:szCs w:val="21"/>
            </w:rPr>
            <w:fldChar w:fldCharType="separate"/>
          </w:r>
          <w:r>
            <w:rPr>
              <w:rFonts w:hint="default"/>
              <w:lang w:val="en-US" w:eastAsia="zh-CN"/>
            </w:rPr>
            <w:t xml:space="preserve">3.2. </w:t>
          </w:r>
          <w:r>
            <w:rPr>
              <w:rFonts w:hint="eastAsia"/>
              <w:lang w:val="en-US" w:eastAsia="zh-CN"/>
            </w:rPr>
            <w:t>质量管理部经理</w:t>
          </w:r>
          <w:r>
            <w:tab/>
          </w:r>
          <w:r>
            <w:fldChar w:fldCharType="begin"/>
          </w:r>
          <w:r>
            <w:instrText xml:space="preserve"> PAGEREF _Toc8689 \h </w:instrText>
          </w:r>
          <w:r>
            <w:fldChar w:fldCharType="separate"/>
          </w:r>
          <w:r>
            <w:t>6</w:t>
          </w:r>
          <w:r>
            <w:fldChar w:fldCharType="end"/>
          </w:r>
          <w:r>
            <w:rPr>
              <w:rFonts w:ascii="宋体" w:eastAsia="宋体" w:hAnsi="宋体" w:cs="宋体" w:hint="eastAsia"/>
              <w:szCs w:val="21"/>
            </w:rPr>
            <w:fldChar w:fldCharType="end"/>
          </w:r>
        </w:p>
        <w:p>
          <w:pPr>
            <w:pStyle w:val="TOC2"/>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_Toc3673 </w:instrText>
          </w:r>
          <w:r>
            <w:rPr>
              <w:rFonts w:ascii="宋体" w:eastAsia="宋体" w:hAnsi="宋体" w:cs="宋体" w:hint="eastAsia"/>
              <w:szCs w:val="21"/>
            </w:rPr>
            <w:fldChar w:fldCharType="separate"/>
          </w:r>
          <w:r>
            <w:rPr>
              <w:rFonts w:hint="default"/>
              <w:lang w:val="en-US" w:eastAsia="zh-CN"/>
            </w:rPr>
            <w:t xml:space="preserve">3.3. </w:t>
          </w:r>
          <w:r>
            <w:rPr>
              <w:rFonts w:hint="eastAsia"/>
              <w:lang w:val="en-US" w:eastAsia="zh-CN"/>
            </w:rPr>
            <w:t>质量管理专员</w:t>
          </w:r>
          <w:r>
            <w:tab/>
          </w:r>
          <w:r>
            <w:fldChar w:fldCharType="begin"/>
          </w:r>
          <w:r>
            <w:instrText xml:space="preserve"> PAGEREF _Toc3673 \h </w:instrText>
          </w:r>
          <w:r>
            <w:fldChar w:fldCharType="separate"/>
          </w:r>
          <w:r>
            <w:t>6</w:t>
          </w:r>
          <w:r>
            <w:fldChar w:fldCharType="end"/>
          </w:r>
          <w:r>
            <w:rPr>
              <w:rFonts w:ascii="宋体" w:eastAsia="宋体" w:hAnsi="宋体" w:cs="宋体" w:hint="eastAsia"/>
              <w:szCs w:val="21"/>
            </w:rPr>
            <w:fldChar w:fldCharType="end"/>
          </w:r>
        </w:p>
        <w:p>
          <w:pPr>
            <w:pStyle w:val="TOC1"/>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_Toc10182 </w:instrText>
          </w:r>
          <w:r>
            <w:rPr>
              <w:rFonts w:ascii="宋体" w:eastAsia="宋体" w:hAnsi="宋体" w:cs="宋体" w:hint="eastAsia"/>
              <w:szCs w:val="21"/>
            </w:rPr>
            <w:fldChar w:fldCharType="separate"/>
          </w:r>
          <w:r>
            <w:rPr>
              <w:rFonts w:hint="default"/>
              <w:lang w:val="en-US" w:eastAsia="zh-CN"/>
            </w:rPr>
            <w:t xml:space="preserve">4. </w:t>
          </w:r>
          <w:r>
            <w:rPr>
              <w:rFonts w:hint="eastAsia"/>
              <w:lang w:val="en-US" w:eastAsia="zh-CN"/>
            </w:rPr>
            <w:t>客户满意度管理</w:t>
          </w:r>
          <w:r>
            <w:tab/>
          </w:r>
          <w:r>
            <w:fldChar w:fldCharType="begin"/>
          </w:r>
          <w:r>
            <w:instrText xml:space="preserve"> PAGEREF _Toc10182 \h </w:instrText>
          </w:r>
          <w:r>
            <w:fldChar w:fldCharType="separate"/>
          </w:r>
          <w:r>
            <w:t>7</w:t>
          </w:r>
          <w:r>
            <w:fldChar w:fldCharType="end"/>
          </w:r>
          <w:r>
            <w:rPr>
              <w:rFonts w:ascii="宋体" w:eastAsia="宋体" w:hAnsi="宋体" w:cs="宋体" w:hint="eastAsia"/>
              <w:szCs w:val="21"/>
            </w:rPr>
            <w:fldChar w:fldCharType="end"/>
          </w:r>
        </w:p>
        <w:p>
          <w:pPr>
            <w:pStyle w:val="TOC2"/>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_Toc10366 </w:instrText>
          </w:r>
          <w:r>
            <w:rPr>
              <w:rFonts w:ascii="宋体" w:eastAsia="宋体" w:hAnsi="宋体" w:cs="宋体" w:hint="eastAsia"/>
              <w:szCs w:val="21"/>
            </w:rPr>
            <w:fldChar w:fldCharType="separate"/>
          </w:r>
          <w:r>
            <w:rPr>
              <w:rFonts w:hint="default"/>
              <w:lang w:val="en-US" w:eastAsia="zh-CN"/>
            </w:rPr>
            <w:t xml:space="preserve">4.1. </w:t>
          </w:r>
          <w:r>
            <w:rPr>
              <w:rFonts w:hint="eastAsia"/>
              <w:lang w:val="en-US" w:eastAsia="zh-CN"/>
            </w:rPr>
            <w:t>管理职责</w:t>
          </w:r>
          <w:r>
            <w:tab/>
          </w:r>
          <w:r>
            <w:fldChar w:fldCharType="begin"/>
          </w:r>
          <w:r>
            <w:instrText xml:space="preserve"> PAGEREF _Toc10366 \h </w:instrText>
          </w:r>
          <w:r>
            <w:fldChar w:fldCharType="separate"/>
          </w:r>
          <w:r>
            <w:t>7</w:t>
          </w:r>
          <w:r>
            <w:fldChar w:fldCharType="end"/>
          </w:r>
          <w:r>
            <w:rPr>
              <w:rFonts w:ascii="宋体" w:eastAsia="宋体" w:hAnsi="宋体" w:cs="宋体" w:hint="eastAsia"/>
              <w:szCs w:val="21"/>
            </w:rPr>
            <w:fldChar w:fldCharType="end"/>
          </w:r>
        </w:p>
        <w:p>
          <w:pPr>
            <w:pStyle w:val="TOC2"/>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_Toc17544 </w:instrText>
          </w:r>
          <w:r>
            <w:rPr>
              <w:rFonts w:ascii="宋体" w:eastAsia="宋体" w:hAnsi="宋体" w:cs="宋体" w:hint="eastAsia"/>
              <w:szCs w:val="21"/>
            </w:rPr>
            <w:fldChar w:fldCharType="separate"/>
          </w:r>
          <w:r>
            <w:rPr>
              <w:rFonts w:hint="default"/>
              <w:lang w:val="en-US" w:eastAsia="zh-CN"/>
            </w:rPr>
            <w:t xml:space="preserve">4.2. </w:t>
          </w:r>
          <w:r>
            <w:rPr>
              <w:rFonts w:hint="eastAsia"/>
              <w:lang w:val="en-US" w:eastAsia="zh-CN"/>
            </w:rPr>
            <w:t>调查实施</w:t>
          </w:r>
          <w:r>
            <w:tab/>
          </w:r>
          <w:r>
            <w:fldChar w:fldCharType="begin"/>
          </w:r>
          <w:r>
            <w:instrText xml:space="preserve"> PAGEREF _Toc17544 \h </w:instrText>
          </w:r>
          <w:r>
            <w:fldChar w:fldCharType="separate"/>
          </w:r>
          <w:r>
            <w:t>7</w:t>
          </w:r>
          <w:r>
            <w:fldChar w:fldCharType="end"/>
          </w:r>
          <w:r>
            <w:rPr>
              <w:rFonts w:ascii="宋体" w:eastAsia="宋体" w:hAnsi="宋体" w:cs="宋体" w:hint="eastAsia"/>
              <w:szCs w:val="21"/>
            </w:rPr>
            <w:fldChar w:fldCharType="end"/>
          </w:r>
        </w:p>
        <w:p>
          <w:pPr>
            <w:pStyle w:val="TOC2"/>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_Toc17990 </w:instrText>
          </w:r>
          <w:r>
            <w:rPr>
              <w:rFonts w:ascii="宋体" w:eastAsia="宋体" w:hAnsi="宋体" w:cs="宋体" w:hint="eastAsia"/>
              <w:szCs w:val="21"/>
            </w:rPr>
            <w:fldChar w:fldCharType="separate"/>
          </w:r>
          <w:r>
            <w:rPr>
              <w:rFonts w:hint="default"/>
              <w:lang w:val="en-US" w:eastAsia="zh-CN"/>
            </w:rPr>
            <w:t xml:space="preserve">4.3. </w:t>
          </w:r>
          <w:r>
            <w:rPr>
              <w:rFonts w:hint="eastAsia"/>
              <w:lang w:val="en-US" w:eastAsia="zh-CN"/>
            </w:rPr>
            <w:t>结果分析与应用</w:t>
          </w:r>
          <w:r>
            <w:tab/>
          </w:r>
          <w:r>
            <w:fldChar w:fldCharType="begin"/>
          </w:r>
          <w:r>
            <w:instrText xml:space="preserve"> PAGEREF _Toc17990 \h </w:instrText>
          </w:r>
          <w:r>
            <w:fldChar w:fldCharType="separate"/>
          </w:r>
          <w:r>
            <w:t>7</w:t>
          </w:r>
          <w:r>
            <w:fldChar w:fldCharType="end"/>
          </w:r>
          <w:r>
            <w:rPr>
              <w:rFonts w:ascii="宋体" w:eastAsia="宋体" w:hAnsi="宋体" w:cs="宋体" w:hint="eastAsia"/>
              <w:szCs w:val="21"/>
            </w:rPr>
            <w:fldChar w:fldCharType="end"/>
          </w:r>
        </w:p>
        <w:p>
          <w:pPr>
            <w:pStyle w:val="TOC1"/>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_Toc28201 </w:instrText>
          </w:r>
          <w:r>
            <w:rPr>
              <w:rFonts w:ascii="宋体" w:eastAsia="宋体" w:hAnsi="宋体" w:cs="宋体" w:hint="eastAsia"/>
              <w:szCs w:val="21"/>
            </w:rPr>
            <w:fldChar w:fldCharType="separate"/>
          </w:r>
          <w:r>
            <w:rPr>
              <w:rFonts w:hint="default"/>
              <w:lang w:val="en-US" w:eastAsia="zh-CN"/>
            </w:rPr>
            <w:t xml:space="preserve">5. </w:t>
          </w:r>
          <w:r>
            <w:rPr>
              <w:rFonts w:hint="eastAsia"/>
              <w:lang w:val="en-US" w:eastAsia="zh-CN"/>
            </w:rPr>
            <w:t>内部审核管理</w:t>
          </w:r>
          <w:r>
            <w:tab/>
          </w:r>
          <w:r>
            <w:fldChar w:fldCharType="begin"/>
          </w:r>
          <w:r>
            <w:instrText xml:space="preserve"> PAGEREF _Toc28201 \h </w:instrText>
          </w:r>
          <w:r>
            <w:fldChar w:fldCharType="separate"/>
          </w:r>
          <w:r>
            <w:t>7</w:t>
          </w:r>
          <w:r>
            <w:fldChar w:fldCharType="end"/>
          </w:r>
          <w:r>
            <w:rPr>
              <w:rFonts w:ascii="宋体" w:eastAsia="宋体" w:hAnsi="宋体" w:cs="宋体" w:hint="eastAsia"/>
              <w:szCs w:val="21"/>
            </w:rPr>
            <w:fldChar w:fldCharType="end"/>
          </w:r>
        </w:p>
        <w:p>
          <w:pPr>
            <w:pStyle w:val="TOC2"/>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_Toc8987 </w:instrText>
          </w:r>
          <w:r>
            <w:rPr>
              <w:rFonts w:ascii="宋体" w:eastAsia="宋体" w:hAnsi="宋体" w:cs="宋体" w:hint="eastAsia"/>
              <w:szCs w:val="21"/>
            </w:rPr>
            <w:fldChar w:fldCharType="separate"/>
          </w:r>
          <w:r>
            <w:rPr>
              <w:rFonts w:hint="default"/>
              <w:lang w:val="en-US" w:eastAsia="zh-CN"/>
            </w:rPr>
            <w:t xml:space="preserve">5.1. </w:t>
          </w:r>
          <w:r>
            <w:rPr>
              <w:rFonts w:hint="eastAsia"/>
              <w:lang w:val="en-US" w:eastAsia="zh-CN"/>
            </w:rPr>
            <w:t>审核策划</w:t>
          </w:r>
          <w:r>
            <w:tab/>
          </w:r>
          <w:r>
            <w:fldChar w:fldCharType="begin"/>
          </w:r>
          <w:r>
            <w:instrText xml:space="preserve"> PAGEREF _Toc8987 \h </w:instrText>
          </w:r>
          <w:r>
            <w:fldChar w:fldCharType="separate"/>
          </w:r>
          <w:r>
            <w:t>8</w:t>
          </w:r>
          <w:r>
            <w:fldChar w:fldCharType="end"/>
          </w:r>
          <w:r>
            <w:rPr>
              <w:rFonts w:ascii="宋体" w:eastAsia="宋体" w:hAnsi="宋体" w:cs="宋体" w:hint="eastAsia"/>
              <w:szCs w:val="21"/>
            </w:rPr>
            <w:fldChar w:fldCharType="end"/>
          </w:r>
        </w:p>
        <w:p>
          <w:pPr>
            <w:pStyle w:val="TOC2"/>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_Toc8866 </w:instrText>
          </w:r>
          <w:r>
            <w:rPr>
              <w:rFonts w:ascii="宋体" w:eastAsia="宋体" w:hAnsi="宋体" w:cs="宋体" w:hint="eastAsia"/>
              <w:szCs w:val="21"/>
            </w:rPr>
            <w:fldChar w:fldCharType="separate"/>
          </w:r>
          <w:r>
            <w:rPr>
              <w:rFonts w:hint="default"/>
              <w:lang w:val="en-US" w:eastAsia="zh-CN"/>
            </w:rPr>
            <w:t xml:space="preserve">5.2. </w:t>
          </w:r>
          <w:r>
            <w:rPr>
              <w:rFonts w:hint="eastAsia"/>
              <w:lang w:val="en-US" w:eastAsia="zh-CN"/>
            </w:rPr>
            <w:t>审核实施</w:t>
          </w:r>
          <w:r>
            <w:tab/>
          </w:r>
          <w:r>
            <w:fldChar w:fldCharType="begin"/>
          </w:r>
          <w:r>
            <w:instrText xml:space="preserve"> PAGEREF _Toc8866 \h </w:instrText>
          </w:r>
          <w:r>
            <w:fldChar w:fldCharType="separate"/>
          </w:r>
          <w:r>
            <w:t>8</w:t>
          </w:r>
          <w:r>
            <w:fldChar w:fldCharType="end"/>
          </w:r>
          <w:r>
            <w:rPr>
              <w:rFonts w:ascii="宋体" w:eastAsia="宋体" w:hAnsi="宋体" w:cs="宋体" w:hint="eastAsia"/>
              <w:szCs w:val="21"/>
            </w:rPr>
            <w:fldChar w:fldCharType="end"/>
          </w:r>
        </w:p>
        <w:p>
          <w:pPr>
            <w:pStyle w:val="TOC2"/>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_Toc7267 </w:instrText>
          </w:r>
          <w:r>
            <w:rPr>
              <w:rFonts w:ascii="宋体" w:eastAsia="宋体" w:hAnsi="宋体" w:cs="宋体" w:hint="eastAsia"/>
              <w:szCs w:val="21"/>
            </w:rPr>
            <w:fldChar w:fldCharType="separate"/>
          </w:r>
          <w:r>
            <w:rPr>
              <w:rFonts w:hint="default"/>
              <w:lang w:val="en-US" w:eastAsia="zh-CN"/>
            </w:rPr>
            <w:t xml:space="preserve">5.3. </w:t>
          </w:r>
          <w:r>
            <w:rPr>
              <w:rFonts w:hint="eastAsia"/>
              <w:lang w:val="en-US" w:eastAsia="zh-CN"/>
            </w:rPr>
            <w:t>审核报告与改进</w:t>
          </w:r>
          <w:r>
            <w:tab/>
          </w:r>
          <w:r>
            <w:fldChar w:fldCharType="begin"/>
          </w:r>
          <w:r>
            <w:instrText xml:space="preserve"> PAGEREF _Toc7267 \h </w:instrText>
          </w:r>
          <w:r>
            <w:fldChar w:fldCharType="separate"/>
          </w:r>
          <w:r>
            <w:t>8</w:t>
          </w:r>
          <w:r>
            <w:fldChar w:fldCharType="end"/>
          </w:r>
          <w:r>
            <w:rPr>
              <w:rFonts w:ascii="宋体" w:eastAsia="宋体" w:hAnsi="宋体" w:cs="宋体" w:hint="eastAsia"/>
              <w:szCs w:val="21"/>
            </w:rPr>
            <w:fldChar w:fldCharType="end"/>
          </w:r>
        </w:p>
        <w:p>
          <w:pPr>
            <w:pStyle w:val="TOC1"/>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_Toc3023 </w:instrText>
          </w:r>
          <w:r>
            <w:rPr>
              <w:rFonts w:ascii="宋体" w:eastAsia="宋体" w:hAnsi="宋体" w:cs="宋体" w:hint="eastAsia"/>
              <w:szCs w:val="21"/>
            </w:rPr>
            <w:fldChar w:fldCharType="separate"/>
          </w:r>
          <w:r>
            <w:rPr>
              <w:rFonts w:hint="default"/>
              <w:lang w:val="en-US" w:eastAsia="zh-CN"/>
            </w:rPr>
            <w:t xml:space="preserve">6. </w:t>
          </w:r>
          <w:r>
            <w:rPr>
              <w:rFonts w:hint="eastAsia"/>
              <w:lang w:val="en-US" w:eastAsia="zh-CN"/>
            </w:rPr>
            <w:t>管理评审</w:t>
          </w:r>
          <w:r>
            <w:tab/>
          </w:r>
          <w:r>
            <w:fldChar w:fldCharType="begin"/>
          </w:r>
          <w:r>
            <w:instrText xml:space="preserve"> PAGEREF _Toc3023 \h </w:instrText>
          </w:r>
          <w:r>
            <w:fldChar w:fldCharType="separate"/>
          </w:r>
          <w:r>
            <w:t>8</w:t>
          </w:r>
          <w:r>
            <w:fldChar w:fldCharType="end"/>
          </w:r>
          <w:r>
            <w:rPr>
              <w:rFonts w:ascii="宋体" w:eastAsia="宋体" w:hAnsi="宋体" w:cs="宋体" w:hint="eastAsia"/>
              <w:szCs w:val="21"/>
            </w:rPr>
            <w:fldChar w:fldCharType="end"/>
          </w:r>
        </w:p>
        <w:p>
          <w:pPr>
            <w:pStyle w:val="TOC2"/>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_Toc5743 </w:instrText>
          </w:r>
          <w:r>
            <w:rPr>
              <w:rFonts w:ascii="宋体" w:eastAsia="宋体" w:hAnsi="宋体" w:cs="宋体" w:hint="eastAsia"/>
              <w:szCs w:val="21"/>
            </w:rPr>
            <w:fldChar w:fldCharType="separate"/>
          </w:r>
          <w:r>
            <w:rPr>
              <w:rFonts w:hint="default"/>
              <w:lang w:val="en-US" w:eastAsia="zh-CN"/>
            </w:rPr>
            <w:t xml:space="preserve">6.1. </w:t>
          </w:r>
          <w:r>
            <w:rPr>
              <w:rFonts w:hint="eastAsia"/>
              <w:lang w:val="en-US" w:eastAsia="zh-CN"/>
            </w:rPr>
            <w:t>评审组织与策划</w:t>
          </w:r>
          <w:r>
            <w:tab/>
          </w:r>
          <w:r>
            <w:fldChar w:fldCharType="begin"/>
          </w:r>
          <w:r>
            <w:instrText xml:space="preserve"> PAGEREF _Toc5743 \h </w:instrText>
          </w:r>
          <w:r>
            <w:fldChar w:fldCharType="separate"/>
          </w:r>
          <w:r>
            <w:t>8</w:t>
          </w:r>
          <w:r>
            <w:fldChar w:fldCharType="end"/>
          </w:r>
          <w:r>
            <w:rPr>
              <w:rFonts w:ascii="宋体" w:eastAsia="宋体" w:hAnsi="宋体" w:cs="宋体" w:hint="eastAsia"/>
              <w:szCs w:val="21"/>
            </w:rPr>
            <w:fldChar w:fldCharType="end"/>
          </w:r>
        </w:p>
        <w:p>
          <w:pPr>
            <w:pStyle w:val="TOC2"/>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_Toc24343 </w:instrText>
          </w:r>
          <w:r>
            <w:rPr>
              <w:rFonts w:ascii="宋体" w:eastAsia="宋体" w:hAnsi="宋体" w:cs="宋体" w:hint="eastAsia"/>
              <w:szCs w:val="21"/>
            </w:rPr>
            <w:fldChar w:fldCharType="separate"/>
          </w:r>
          <w:r>
            <w:rPr>
              <w:rFonts w:hint="default"/>
              <w:lang w:val="en-US" w:eastAsia="zh-CN"/>
            </w:rPr>
            <w:t xml:space="preserve">6.2. </w:t>
          </w:r>
          <w:r>
            <w:rPr>
              <w:rFonts w:hint="eastAsia"/>
              <w:lang w:val="en-US" w:eastAsia="zh-CN"/>
            </w:rPr>
            <w:t>评审输入与准备</w:t>
          </w:r>
          <w:r>
            <w:tab/>
          </w:r>
          <w:r>
            <w:fldChar w:fldCharType="begin"/>
          </w:r>
          <w:r>
            <w:instrText xml:space="preserve"> PAGEREF _Toc24343 \h </w:instrText>
          </w:r>
          <w:r>
            <w:fldChar w:fldCharType="separate"/>
          </w:r>
          <w:r>
            <w:t>9</w:t>
          </w:r>
          <w:r>
            <w:fldChar w:fldCharType="end"/>
          </w:r>
          <w:r>
            <w:rPr>
              <w:rFonts w:ascii="宋体" w:eastAsia="宋体" w:hAnsi="宋体" w:cs="宋体" w:hint="eastAsia"/>
              <w:szCs w:val="21"/>
            </w:rPr>
            <w:fldChar w:fldCharType="end"/>
          </w:r>
        </w:p>
        <w:p>
          <w:pPr>
            <w:pStyle w:val="TOC2"/>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_Toc12792 </w:instrText>
          </w:r>
          <w:r>
            <w:rPr>
              <w:rFonts w:ascii="宋体" w:eastAsia="宋体" w:hAnsi="宋体" w:cs="宋体" w:hint="eastAsia"/>
              <w:szCs w:val="21"/>
            </w:rPr>
            <w:fldChar w:fldCharType="separate"/>
          </w:r>
          <w:r>
            <w:rPr>
              <w:rFonts w:hint="default"/>
              <w:lang w:val="en-US" w:eastAsia="zh-CN"/>
            </w:rPr>
            <w:t xml:space="preserve">6.3. </w:t>
          </w:r>
          <w:r>
            <w:rPr>
              <w:rFonts w:hint="eastAsia"/>
              <w:lang w:val="en-US" w:eastAsia="zh-CN"/>
            </w:rPr>
            <w:t>评审会议与输出</w:t>
          </w:r>
          <w:r>
            <w:tab/>
          </w:r>
          <w:r>
            <w:fldChar w:fldCharType="begin"/>
          </w:r>
          <w:r>
            <w:instrText xml:space="preserve"> PAGEREF _Toc12792 \h </w:instrText>
          </w:r>
          <w:r>
            <w:fldChar w:fldCharType="separate"/>
          </w:r>
          <w:r>
            <w:t>9</w:t>
          </w:r>
          <w:r>
            <w:fldChar w:fldCharType="end"/>
          </w:r>
          <w:r>
            <w:rPr>
              <w:rFonts w:ascii="宋体" w:eastAsia="宋体" w:hAnsi="宋体" w:cs="宋体" w:hint="eastAsia"/>
              <w:szCs w:val="21"/>
            </w:rPr>
            <w:fldChar w:fldCharType="end"/>
          </w:r>
        </w:p>
        <w:p>
          <w:pPr>
            <w:pStyle w:val="TOC2"/>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_Toc16243 </w:instrText>
          </w:r>
          <w:r>
            <w:rPr>
              <w:rFonts w:ascii="宋体" w:eastAsia="宋体" w:hAnsi="宋体" w:cs="宋体" w:hint="eastAsia"/>
              <w:szCs w:val="21"/>
            </w:rPr>
            <w:fldChar w:fldCharType="separate"/>
          </w:r>
          <w:r>
            <w:rPr>
              <w:rFonts w:hint="default"/>
              <w:lang w:val="en-US" w:eastAsia="zh-CN"/>
            </w:rPr>
            <w:t xml:space="preserve">6.4. </w:t>
          </w:r>
          <w:r>
            <w:rPr>
              <w:rFonts w:hint="eastAsia"/>
              <w:lang w:val="en-US" w:eastAsia="zh-CN"/>
            </w:rPr>
            <w:t>决议跟踪与验证</w:t>
          </w:r>
          <w:r>
            <w:tab/>
          </w:r>
          <w:r>
            <w:fldChar w:fldCharType="begin"/>
          </w:r>
          <w:r>
            <w:instrText xml:space="preserve"> PAGEREF _Toc16243 \h </w:instrText>
          </w:r>
          <w:r>
            <w:fldChar w:fldCharType="separate"/>
          </w:r>
          <w:r>
            <w:t>9</w:t>
          </w:r>
          <w:r>
            <w:fldChar w:fldCharType="end"/>
          </w:r>
          <w:r>
            <w:rPr>
              <w:rFonts w:ascii="宋体" w:eastAsia="宋体" w:hAnsi="宋体" w:cs="宋体" w:hint="eastAsia"/>
              <w:szCs w:val="21"/>
            </w:rPr>
            <w:fldChar w:fldCharType="end"/>
          </w:r>
        </w:p>
        <w:p>
          <w:pPr>
            <w:pStyle w:val="TOC1"/>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_Toc7834 </w:instrText>
          </w:r>
          <w:r>
            <w:rPr>
              <w:rFonts w:ascii="宋体" w:eastAsia="宋体" w:hAnsi="宋体" w:cs="宋体" w:hint="eastAsia"/>
              <w:szCs w:val="21"/>
            </w:rPr>
            <w:fldChar w:fldCharType="separate"/>
          </w:r>
          <w:r>
            <w:rPr>
              <w:rFonts w:hint="default"/>
              <w:lang w:val="en-US" w:eastAsia="zh-CN"/>
            </w:rPr>
            <w:t xml:space="preserve">7. </w:t>
          </w:r>
          <w:r>
            <w:rPr>
              <w:rFonts w:hint="eastAsia"/>
              <w:lang w:val="en-US" w:eastAsia="zh-CN"/>
            </w:rPr>
            <w:t>质量管理活动流程</w:t>
          </w:r>
          <w:r>
            <w:tab/>
          </w:r>
          <w:r>
            <w:fldChar w:fldCharType="begin"/>
          </w:r>
          <w:r>
            <w:instrText xml:space="preserve"> PAGEREF _Toc7834 \h </w:instrText>
          </w:r>
          <w:r>
            <w:fldChar w:fldCharType="separate"/>
          </w:r>
          <w:r>
            <w:t>10</w:t>
          </w:r>
          <w:r>
            <w:fldChar w:fldCharType="end"/>
          </w:r>
          <w:r>
            <w:rPr>
              <w:rFonts w:ascii="宋体" w:eastAsia="宋体" w:hAnsi="宋体" w:cs="宋体" w:hint="eastAsia"/>
              <w:szCs w:val="21"/>
            </w:rPr>
            <w:fldChar w:fldCharType="end"/>
          </w:r>
        </w:p>
        <w:p>
          <w:pPr>
            <w:pStyle w:val="TOC2"/>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_Toc23696 </w:instrText>
          </w:r>
          <w:r>
            <w:rPr>
              <w:rFonts w:ascii="宋体" w:eastAsia="宋体" w:hAnsi="宋体" w:cs="宋体" w:hint="eastAsia"/>
              <w:szCs w:val="21"/>
            </w:rPr>
            <w:fldChar w:fldCharType="separate"/>
          </w:r>
          <w:r>
            <w:rPr>
              <w:rFonts w:hint="default"/>
              <w:lang w:val="en-US" w:eastAsia="zh-CN"/>
            </w:rPr>
            <w:t xml:space="preserve">7.1. </w:t>
          </w:r>
          <w:r>
            <w:rPr>
              <w:rFonts w:hint="eastAsia"/>
              <w:lang w:val="en-US" w:eastAsia="zh-CN"/>
            </w:rPr>
            <w:t>流程总述</w:t>
          </w:r>
          <w:r>
            <w:tab/>
          </w:r>
          <w:r>
            <w:fldChar w:fldCharType="begin"/>
          </w:r>
          <w:r>
            <w:instrText xml:space="preserve"> PAGEREF _Toc23696 \h </w:instrText>
          </w:r>
          <w:r>
            <w:fldChar w:fldCharType="separate"/>
          </w:r>
          <w:r>
            <w:t>10</w:t>
          </w:r>
          <w:r>
            <w:fldChar w:fldCharType="end"/>
          </w:r>
          <w:r>
            <w:rPr>
              <w:rFonts w:ascii="宋体" w:eastAsia="宋体" w:hAnsi="宋体" w:cs="宋体" w:hint="eastAsia"/>
              <w:szCs w:val="21"/>
            </w:rPr>
            <w:fldChar w:fldCharType="end"/>
          </w:r>
        </w:p>
        <w:p>
          <w:pPr>
            <w:pStyle w:val="TOC2"/>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_Toc31196 </w:instrText>
          </w:r>
          <w:r>
            <w:rPr>
              <w:rFonts w:ascii="宋体" w:eastAsia="宋体" w:hAnsi="宋体" w:cs="宋体" w:hint="eastAsia"/>
              <w:szCs w:val="21"/>
            </w:rPr>
            <w:fldChar w:fldCharType="separate"/>
          </w:r>
          <w:r>
            <w:rPr>
              <w:rFonts w:hint="default"/>
              <w:lang w:val="en-US" w:eastAsia="zh-CN"/>
            </w:rPr>
            <w:t xml:space="preserve">7.2. </w:t>
          </w:r>
          <w:r>
            <w:rPr>
              <w:rFonts w:hint="eastAsia"/>
              <w:lang w:val="en-US" w:eastAsia="zh-CN"/>
            </w:rPr>
            <w:t>质量策划与目标设定</w:t>
          </w:r>
          <w:r>
            <w:tab/>
          </w:r>
          <w:r>
            <w:fldChar w:fldCharType="begin"/>
          </w:r>
          <w:r>
            <w:instrText xml:space="preserve"> PAGEREF _Toc31196 \h </w:instrText>
          </w:r>
          <w:r>
            <w:fldChar w:fldCharType="separate"/>
          </w:r>
          <w:r>
            <w:t>10</w:t>
          </w:r>
          <w:r>
            <w:fldChar w:fldCharType="end"/>
          </w:r>
          <w:r>
            <w:rPr>
              <w:rFonts w:ascii="宋体" w:eastAsia="宋体" w:hAnsi="宋体" w:cs="宋体" w:hint="eastAsia"/>
              <w:szCs w:val="21"/>
            </w:rPr>
            <w:fldChar w:fldCharType="end"/>
          </w:r>
        </w:p>
        <w:p>
          <w:pPr>
            <w:pStyle w:val="TOC2"/>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_Toc8224 </w:instrText>
          </w:r>
          <w:r>
            <w:rPr>
              <w:rFonts w:ascii="宋体" w:eastAsia="宋体" w:hAnsi="宋体" w:cs="宋体" w:hint="eastAsia"/>
              <w:szCs w:val="21"/>
            </w:rPr>
            <w:fldChar w:fldCharType="separate"/>
          </w:r>
          <w:r>
            <w:rPr>
              <w:rFonts w:hint="default"/>
              <w:lang w:val="en-US" w:eastAsia="zh-CN"/>
            </w:rPr>
            <w:t xml:space="preserve">7.3. </w:t>
          </w:r>
          <w:r>
            <w:rPr>
              <w:rFonts w:hint="eastAsia"/>
              <w:lang w:val="en-US" w:eastAsia="zh-CN"/>
            </w:rPr>
            <w:t>质量监控与检查</w:t>
          </w:r>
          <w:r>
            <w:tab/>
          </w:r>
          <w:r>
            <w:fldChar w:fldCharType="begin"/>
          </w:r>
          <w:r>
            <w:instrText xml:space="preserve"> PAGEREF _Toc8224 \h </w:instrText>
          </w:r>
          <w:r>
            <w:fldChar w:fldCharType="separate"/>
          </w:r>
          <w:r>
            <w:t>10</w:t>
          </w:r>
          <w:r>
            <w:fldChar w:fldCharType="end"/>
          </w:r>
          <w:r>
            <w:rPr>
              <w:rFonts w:ascii="宋体" w:eastAsia="宋体" w:hAnsi="宋体" w:cs="宋体" w:hint="eastAsia"/>
              <w:szCs w:val="21"/>
            </w:rPr>
            <w:fldChar w:fldCharType="end"/>
          </w:r>
        </w:p>
        <w:p>
          <w:pPr>
            <w:pStyle w:val="TOC2"/>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_Toc26570 </w:instrText>
          </w:r>
          <w:r>
            <w:rPr>
              <w:rFonts w:ascii="宋体" w:eastAsia="宋体" w:hAnsi="宋体" w:cs="宋体" w:hint="eastAsia"/>
              <w:szCs w:val="21"/>
            </w:rPr>
            <w:fldChar w:fldCharType="separate"/>
          </w:r>
          <w:r>
            <w:rPr>
              <w:rFonts w:hint="default"/>
              <w:lang w:val="en-US" w:eastAsia="zh-CN"/>
            </w:rPr>
            <w:t xml:space="preserve">7.4. </w:t>
          </w:r>
          <w:r>
            <w:rPr>
              <w:rFonts w:hint="eastAsia"/>
              <w:lang w:val="en-US" w:eastAsia="zh-CN"/>
            </w:rPr>
            <w:t>数据分析与改进识别</w:t>
          </w:r>
          <w:r>
            <w:tab/>
          </w:r>
          <w:r>
            <w:fldChar w:fldCharType="begin"/>
          </w:r>
          <w:r>
            <w:instrText xml:space="preserve"> PAGEREF _Toc26570 \h </w:instrText>
          </w:r>
          <w:r>
            <w:fldChar w:fldCharType="separate"/>
          </w:r>
          <w:r>
            <w:t>10</w:t>
          </w:r>
          <w:r>
            <w:fldChar w:fldCharType="end"/>
          </w:r>
          <w:r>
            <w:rPr>
              <w:rFonts w:ascii="宋体" w:eastAsia="宋体" w:hAnsi="宋体" w:cs="宋体" w:hint="eastAsia"/>
              <w:szCs w:val="21"/>
            </w:rPr>
            <w:fldChar w:fldCharType="end"/>
          </w:r>
        </w:p>
        <w:p>
          <w:pPr>
            <w:pStyle w:val="TOC2"/>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_Toc665 </w:instrText>
          </w:r>
          <w:r>
            <w:rPr>
              <w:rFonts w:ascii="宋体" w:eastAsia="宋体" w:hAnsi="宋体" w:cs="宋体" w:hint="eastAsia"/>
              <w:szCs w:val="21"/>
            </w:rPr>
            <w:fldChar w:fldCharType="separate"/>
          </w:r>
          <w:r>
            <w:rPr>
              <w:rFonts w:hint="default"/>
              <w:lang w:val="en-US" w:eastAsia="zh-CN"/>
            </w:rPr>
            <w:t xml:space="preserve">7.5. </w:t>
          </w:r>
          <w:r>
            <w:rPr>
              <w:rFonts w:hint="eastAsia"/>
              <w:lang w:val="en-US" w:eastAsia="zh-CN"/>
            </w:rPr>
            <w:t>改进实施与验证</w:t>
          </w:r>
          <w:r>
            <w:tab/>
          </w:r>
          <w:r>
            <w:fldChar w:fldCharType="begin"/>
          </w:r>
          <w:r>
            <w:instrText xml:space="preserve"> PAGEREF _Toc665 \h </w:instrText>
          </w:r>
          <w:r>
            <w:fldChar w:fldCharType="separate"/>
          </w:r>
          <w:r>
            <w:t>11</w:t>
          </w:r>
          <w:r>
            <w:fldChar w:fldCharType="end"/>
          </w:r>
          <w:r>
            <w:rPr>
              <w:rFonts w:ascii="宋体" w:eastAsia="宋体" w:hAnsi="宋体" w:cs="宋体" w:hint="eastAsia"/>
              <w:szCs w:val="21"/>
            </w:rPr>
            <w:fldChar w:fldCharType="end"/>
          </w:r>
        </w:p>
        <w:p>
          <w:pPr>
            <w:pStyle w:val="TOC2"/>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_Toc14648 </w:instrText>
          </w:r>
          <w:r>
            <w:rPr>
              <w:rFonts w:ascii="宋体" w:eastAsia="宋体" w:hAnsi="宋体" w:cs="宋体" w:hint="eastAsia"/>
              <w:szCs w:val="21"/>
            </w:rPr>
            <w:fldChar w:fldCharType="separate"/>
          </w:r>
          <w:r>
            <w:rPr>
              <w:rFonts w:hint="default"/>
              <w:lang w:val="en-US" w:eastAsia="zh-CN"/>
            </w:rPr>
            <w:t xml:space="preserve">7.6. </w:t>
          </w:r>
          <w:r>
            <w:rPr>
              <w:rFonts w:hint="eastAsia"/>
              <w:lang w:val="en-US" w:eastAsia="zh-CN"/>
            </w:rPr>
            <w:t>知识固化</w:t>
          </w:r>
          <w:r>
            <w:tab/>
          </w:r>
          <w:r>
            <w:fldChar w:fldCharType="begin"/>
          </w:r>
          <w:r>
            <w:instrText xml:space="preserve"> PAGEREF _Toc14648 \h </w:instrText>
          </w:r>
          <w:r>
            <w:fldChar w:fldCharType="separate"/>
          </w:r>
          <w:r>
            <w:t>11</w:t>
          </w:r>
          <w:r>
            <w:fldChar w:fldCharType="end"/>
          </w:r>
          <w:r>
            <w:rPr>
              <w:rFonts w:ascii="宋体" w:eastAsia="宋体" w:hAnsi="宋体" w:cs="宋体" w:hint="eastAsia"/>
              <w:szCs w:val="21"/>
            </w:rPr>
            <w:fldChar w:fldCharType="end"/>
          </w:r>
        </w:p>
        <w:p>
          <w:pPr>
            <w:pStyle w:val="TOC1"/>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_Toc10985 </w:instrText>
          </w:r>
          <w:r>
            <w:rPr>
              <w:rFonts w:ascii="宋体" w:eastAsia="宋体" w:hAnsi="宋体" w:cs="宋体" w:hint="eastAsia"/>
              <w:szCs w:val="21"/>
            </w:rPr>
            <w:fldChar w:fldCharType="separate"/>
          </w:r>
          <w:r>
            <w:rPr>
              <w:rFonts w:hint="default"/>
              <w:lang w:val="en-US" w:eastAsia="zh-CN"/>
            </w:rPr>
            <w:t xml:space="preserve">8. </w:t>
          </w:r>
          <w:r>
            <w:rPr>
              <w:rFonts w:hint="eastAsia"/>
              <w:lang w:val="en-US" w:eastAsia="zh-CN"/>
            </w:rPr>
            <w:t>考核指标</w:t>
          </w:r>
          <w:r>
            <w:tab/>
          </w:r>
          <w:r>
            <w:fldChar w:fldCharType="begin"/>
          </w:r>
          <w:r>
            <w:instrText xml:space="preserve"> PAGEREF _Toc10985 \h </w:instrText>
          </w:r>
          <w:r>
            <w:fldChar w:fldCharType="separate"/>
          </w:r>
          <w:r>
            <w:t>11</w:t>
          </w:r>
          <w:r>
            <w:fldChar w:fldCharType="end"/>
          </w:r>
          <w:r>
            <w:rPr>
              <w:rFonts w:ascii="宋体" w:eastAsia="宋体" w:hAnsi="宋体" w:cs="宋体" w:hint="eastAsia"/>
              <w:szCs w:val="21"/>
            </w:rPr>
            <w:fldChar w:fldCharType="end"/>
          </w:r>
        </w:p>
        <w:p>
          <w:pPr>
            <w:pStyle w:val="TOC1"/>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_Toc21783 </w:instrText>
          </w:r>
          <w:r>
            <w:rPr>
              <w:rFonts w:ascii="宋体" w:eastAsia="宋体" w:hAnsi="宋体" w:cs="宋体" w:hint="eastAsia"/>
              <w:szCs w:val="21"/>
            </w:rPr>
            <w:fldChar w:fldCharType="separate"/>
          </w:r>
          <w:r>
            <w:rPr>
              <w:rFonts w:hint="default"/>
              <w:lang w:val="en-US" w:eastAsia="zh-CN"/>
            </w:rPr>
            <w:t xml:space="preserve">9. </w:t>
          </w:r>
          <w:r>
            <w:rPr>
              <w:rFonts w:hint="eastAsia"/>
              <w:lang w:val="en-US" w:eastAsia="zh-CN"/>
            </w:rPr>
            <w:t>附则</w:t>
          </w:r>
          <w:r>
            <w:tab/>
          </w:r>
          <w:r>
            <w:fldChar w:fldCharType="begin"/>
          </w:r>
          <w:r>
            <w:instrText xml:space="preserve"> PAGEREF _Toc21783 \h </w:instrText>
          </w:r>
          <w:r>
            <w:fldChar w:fldCharType="separate"/>
          </w:r>
          <w:r>
            <w:t>11</w:t>
          </w:r>
          <w:r>
            <w:fldChar w:fldCharType="end"/>
          </w:r>
          <w:r>
            <w:rPr>
              <w:rFonts w:ascii="宋体" w:eastAsia="宋体" w:hAnsi="宋体" w:cs="宋体" w:hint="eastAsia"/>
              <w:szCs w:val="21"/>
            </w:rPr>
            <w:fldChar w:fldCharType="end"/>
          </w:r>
        </w:p>
        <w:p>
          <w:pPr>
            <w:keepNext w:val="0"/>
            <w:keepLines w:val="0"/>
            <w:pageBreakBefore w:val="0"/>
            <w:widowControl w:val="0"/>
            <w:kinsoku w:val="0"/>
            <w:wordWrap/>
            <w:overflowPunct/>
            <w:topLinePunct w:val="0"/>
            <w:autoSpaceDE w:val="0"/>
            <w:autoSpaceDN w:val="0"/>
            <w:bidi w:val="0"/>
            <w:adjustRightInd w:val="0"/>
            <w:snapToGrid w:val="0"/>
            <w:spacing w:line="336" w:lineRule="auto"/>
            <w:textAlignment w:val="baseline"/>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1"/>
            </w:rP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 w:name="_Toc8260"/>
      <w:r>
        <w:rPr>
          <w:rFonts w:hint="eastAsia"/>
          <w:lang w:val="en-US" w:eastAsia="zh-CN"/>
        </w:rPr>
        <w:t>总则</w:t>
      </w:r>
      <w:bookmarkEnd w:id="3"/>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 w:name="_Toc5096"/>
      <w:r>
        <w:rPr>
          <w:rFonts w:hint="eastAsia"/>
          <w:lang w:val="en-US" w:eastAsia="zh-CN"/>
        </w:rPr>
        <w:t>制度简介</w:t>
      </w:r>
      <w:bookmarkEnd w:id="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本制度旨在系统阐述桐乡华数广电网络有限公司（以下简称“公司”）运维服务质量管理的方针、职责、活动与要求。核心内容包括质量管理部门与人员职责、质量管理活动的基本流程、质量改进的范围与目标，旨在建立规范化的质量管理体系，确保运维服务质量的持续提升。</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 w:name="_Toc26376"/>
      <w:r>
        <w:rPr>
          <w:rFonts w:hint="eastAsia"/>
          <w:lang w:val="en-US" w:eastAsia="zh-CN"/>
        </w:rPr>
        <w:t>制度目标</w:t>
      </w:r>
      <w:bookmarkEnd w:id="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本制度作为公司内部公开的管理文件，其目标在于：</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使全体员工清晰理解公司运维服务质量管理的制度与要求。</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提升各级服务管理人员对质量管理的重视程度。</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明确各部门及人员在质量管理过程中的角色与贡献。</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指导公司系统性、持续性地改进服务管理能力与服务质量。</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 w:name="_Toc1650"/>
      <w:r>
        <w:rPr>
          <w:rFonts w:hint="eastAsia"/>
          <w:lang w:val="en-US" w:eastAsia="zh-CN"/>
        </w:rPr>
        <w:t>管理概述</w:t>
      </w:r>
      <w:bookmarkEnd w:id="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公司运维服务质量管理体系的建设与运行遵循“策划（P）-实施（D）-检查（C）-改进（A）”（PDCA）的循环方法论。我们秉持“任何服务都存在提升潜力，使其更具效力和效率”的基本理念，鼓励全体员工及相关方共同参与质量活动。本制度是依据ITSS等信息技术服务标准要求，结合公司实际制定的指导性文件。</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7" w:name="_Toc13569"/>
      <w:r>
        <w:rPr>
          <w:rFonts w:hint="eastAsia"/>
          <w:lang w:val="en-US" w:eastAsia="zh-CN"/>
        </w:rPr>
        <w:t>适用范围</w:t>
      </w:r>
      <w:bookmarkEnd w:id="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本制度适用于公司范围内所有与运维服务相关的质量管理活动。其指导范围涵盖所有服务管理流程、相关文档、人员、技术、资源、过程、交付和应急。涉及部门包括运维部、研发部、人力资源部、质量管理部及应急管理部。</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8" w:name="_Toc15713"/>
      <w:r>
        <w:rPr>
          <w:rFonts w:hint="eastAsia"/>
          <w:lang w:val="en-US" w:eastAsia="zh-CN"/>
        </w:rPr>
        <w:t>管理目标与原则</w:t>
      </w:r>
      <w:bookmarkEnd w:id="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运维服务质量管理的根本目标是持续改进服务提供与服务管理的有效性和效率。具体原则包括：</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目标一致性：质量改进目标必须与公司业务目标及客户需求保持一致。</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可测量性：设定的质量目标必须是现实可行且可量化测量的。</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合规性：所有质量活动需符合法律法规、合同约定及相关标准要求。</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系统性：采用系统、一致的方法对服务管理体系进行改进。</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全员参与：鼓励服务管理相关所有人员识别改进机会并参与改进活动。</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9" w:name="_Toc30924"/>
      <w:r>
        <w:rPr>
          <w:rFonts w:hint="eastAsia"/>
          <w:lang w:val="en-US" w:eastAsia="zh-CN"/>
        </w:rPr>
        <w:t>组织与职责</w:t>
      </w:r>
      <w:bookmarkEnd w:id="9"/>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0" w:name="_Toc22234"/>
      <w:r>
        <w:rPr>
          <w:rFonts w:hint="eastAsia"/>
          <w:lang w:val="en-US" w:eastAsia="zh-CN"/>
        </w:rPr>
        <w:t>质量管理部</w:t>
      </w:r>
      <w:bookmarkEnd w:id="1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作为运维服务质量管理的归口与主导部门，负责本制度的维护、解释与推动实施。牵头组织全公司的质量策划、监控、评审与改进活动。</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1" w:name="_Toc8689"/>
      <w:r>
        <w:rPr>
          <w:rFonts w:hint="eastAsia"/>
          <w:lang w:val="en-US" w:eastAsia="zh-CN"/>
        </w:rPr>
        <w:t>质量管理部经理</w:t>
      </w:r>
      <w:bookmarkEnd w:id="1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参与制定运维服务能力指标体系、质量管理程序文件及记录表单，并负责其发放与更新。</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负责制定年度/季度/月度质量目标，组织收集与分析实际执行数据。</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根据质量目标达成情况，策划下一阶段具有提升性的质量目标。</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负责制定具体的服务改进方案，并组织、控制改进项目的实施，对改进结果负责。</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定期组织质量回顾会议，巩固改进成果。</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牵头组织客户满意度调查与分析，并推动制定针对性的改进措施。</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2" w:name="_Toc3673"/>
      <w:r>
        <w:rPr>
          <w:rFonts w:hint="eastAsia"/>
          <w:lang w:val="en-US" w:eastAsia="zh-CN"/>
        </w:rPr>
        <w:t>质量管理专员</w:t>
      </w:r>
      <w:bookmarkEnd w:id="1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负责各服务环节质量信息的收集、统计与分析。</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根据统计分析结果，协助推进服务能力改进活动，经验证有效后更新相关质量文件。</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负责在服务改进项目完成后，组织进行知识转移与经验分享。</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协助质量管理部经理完成日常质量监督、检查及文档管理工作。</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3" w:name="_Toc10182"/>
      <w:r>
        <w:rPr>
          <w:rFonts w:hint="eastAsia"/>
          <w:lang w:val="en-US" w:eastAsia="zh-CN"/>
        </w:rPr>
        <w:t>客户满意度管理</w:t>
      </w:r>
      <w:bookmarkEnd w:id="13"/>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4" w:name="_Toc10366"/>
      <w:r>
        <w:rPr>
          <w:rFonts w:hint="eastAsia"/>
          <w:lang w:val="en-US" w:eastAsia="zh-CN"/>
        </w:rPr>
        <w:t>管理职责</w:t>
      </w:r>
      <w:bookmarkEnd w:id="1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管理部是客户满意度管理的归口部门，负责策划、组织、实施公司级及重点项目的客户满意度调查工作。运维部及各运维项目经理负责日常客户关系的维护与即时反馈的收集，并配合落实满意度调查后的改进工作。</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5" w:name="_Toc17544"/>
      <w:r>
        <w:rPr>
          <w:rFonts w:hint="eastAsia"/>
          <w:lang w:val="en-US" w:eastAsia="zh-CN"/>
        </w:rPr>
        <w:t>调查实施</w:t>
      </w:r>
      <w:bookmarkEnd w:id="1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策划：质量管理部每半年至少策划并组织一次全面的年度客户满意度调查。对于重大项目，可在项目关键里程碑或结项时进行专项满意度调查。</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内容：调查内容应覆盖服务质量、服务态度、问题解决效率、沟通协作、合同履行情况等多个维度，并设置开放式意见栏。</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方式：采用问卷调查（线上/纸质）、电话访谈、现场座谈等多种形式相结合的方式进行，确保调查的广泛性与深入性。</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过程：质量管理专员负责调查工具的准备、发放、催收与回收，确保调查过程的合规性与信息的保密性。</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6" w:name="_Toc17990"/>
      <w:r>
        <w:rPr>
          <w:rFonts w:hint="eastAsia"/>
          <w:lang w:val="en-US" w:eastAsia="zh-CN"/>
        </w:rPr>
        <w:t>结果分析与应用</w:t>
      </w:r>
      <w:bookmarkEnd w:id="1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分析：质量管理部对回收的调查数据进行统计分析，计算整体满意度得分及各分项得分，识别优势项与待改进项，编写《客户满意度调查报告》。</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沟通：调查报告应提交公司管理层审阅，并向相关服务交付部门（运维部）进行通报与沟通。</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改进：针对调查中反映的问题和建议，质量管理部应会同运维部等相关部门进行根本原因分析，制定具体的改进措施与计划，纳入改进管理流程进行跟踪落实。</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闭环：重大问题的改进措施或结果，应通过适当方式向客户进行反馈，形成管理闭环。</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7" w:name="_Toc28201"/>
      <w:r>
        <w:rPr>
          <w:rFonts w:hint="eastAsia"/>
          <w:lang w:val="en-US" w:eastAsia="zh-CN"/>
        </w:rPr>
        <w:t>内部审核管理</w:t>
      </w:r>
      <w:bookmarkEnd w:id="17"/>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8" w:name="_Toc8987"/>
      <w:r>
        <w:rPr>
          <w:rFonts w:hint="eastAsia"/>
          <w:lang w:val="en-US" w:eastAsia="zh-CN"/>
        </w:rPr>
        <w:t>审核策划</w:t>
      </w:r>
      <w:bookmarkEnd w:id="1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方案：质量管理部经理负责制定《年度内部审核方案》，明确审核目的、范围、依据、频次（每年至少一次全面内审）、方法及审核组组成。</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准备：成立内部审核组，审核员应经过培训且独立于被审核部门。审核前应编制检查表，并提前向受审核部门发出审核通知。</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9" w:name="_Toc8866"/>
      <w:r>
        <w:rPr>
          <w:rFonts w:hint="eastAsia"/>
          <w:lang w:val="en-US" w:eastAsia="zh-CN"/>
        </w:rPr>
        <w:t>审核实施</w:t>
      </w:r>
      <w:bookmarkEnd w:id="1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首次会议：召开审核首次会议，明确审核计划与安排。</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现场审核：审核员通过访谈、查阅文件、记录及现场观察等方式，收集客观证据，评估质量管理体系运行的符合性与有效性。</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记录：审核员详细记录审核发现，包括符合项与不符合项。</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0" w:name="_Toc7267"/>
      <w:r>
        <w:rPr>
          <w:rFonts w:hint="eastAsia"/>
          <w:lang w:val="en-US" w:eastAsia="zh-CN"/>
        </w:rPr>
        <w:t>审核报告与改进</w:t>
      </w:r>
      <w:bookmarkEnd w:id="2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末次会议：召开审核末次会议，通报审核发现。</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报告：审核结束后，审核组编写《内部审核报告》，全面总结审核情况，列出不符合项及观察项。</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不符合项整改：受审核部门对不符合项进行原因分析，制定并实施纠正与预防措施。质量管理部（通常由质量管理专员负责）对纠正措施的实施情况进行跟踪验证，直至关闭。</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管理输入：内部审核结果作为管理评审的重要输入之一，用于评估体系整体绩效和寻求改进机会。</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1" w:name="_Toc3023"/>
      <w:r>
        <w:rPr>
          <w:rFonts w:hint="eastAsia"/>
          <w:lang w:val="en-US" w:eastAsia="zh-CN"/>
        </w:rPr>
        <w:t>管理评审</w:t>
      </w:r>
      <w:bookmarkEnd w:id="21"/>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2" w:name="_Toc5743"/>
      <w:r>
        <w:rPr>
          <w:rFonts w:hint="eastAsia"/>
          <w:lang w:val="en-US" w:eastAsia="zh-CN"/>
        </w:rPr>
        <w:t>评审组织与策划</w:t>
      </w:r>
      <w:bookmarkEnd w:id="2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频次：公司管理层每年至少组织一次管理评审，通常安排在年底或年初，以评估过去一年的体系绩效并规划未来。当公司战略、组织结构、市场环境发生重大变化时，可增加临时评审。</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组织：质量管理部经理负责管理评审的具体策划与组织工作，包括拟定评审计划、准备输入材料、发送会议通知等。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参与人员：评审会议由公司最高管理者或指定副总主持，各运维相关部门（运维部、研发部、人力资源部、质量管理部、应急管理部）经理及相关人员参加。</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3" w:name="_Toc24343"/>
      <w:r>
        <w:rPr>
          <w:rFonts w:hint="eastAsia"/>
          <w:lang w:val="en-US" w:eastAsia="zh-CN"/>
        </w:rPr>
        <w:t>评审输入与准备</w:t>
      </w:r>
      <w:bookmarkEnd w:id="2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评审输入信息应充分、准确，通常包括：</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内部审核和外部审核的结果。</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客户满意度调查结果及客户反馈分析。</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运维服务过程绩效和服务目标的达成情况（SLA/KPI）。</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以往管理评审决议的跟踪及实施情况。</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可能影响质量管理体系的内外部变化（如战略调整、法规更新、技术变革等）</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纠正和预防措施的状况。</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各部门应在会前按要求准备并提交相关输入材料。</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4" w:name="_Toc12792"/>
      <w:r>
        <w:rPr>
          <w:rFonts w:hint="eastAsia"/>
          <w:lang w:val="en-US" w:eastAsia="zh-CN"/>
        </w:rPr>
        <w:t>评审会议与输出</w:t>
      </w:r>
      <w:bookmarkEnd w:id="2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会议议程：评审会议应对所有输入信息进行系统评价，评估质量管理体系的适宜性、充分性和有效性。</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评审输出：会议应形成明确的评审结论和决议，包括：</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对质量管理体系及其过程有效性的改进决定。</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与客户要求相关的服务改进决定。</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资源需求的决定。</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下一年度质量目标和关键绩效指标的调整或设定。</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报告：质量管理部根据会议记录和决议，编制正式的《管理评审报告》，经最高管理者批准后分发至相关部门。</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5" w:name="_Toc16243"/>
      <w:r>
        <w:rPr>
          <w:rFonts w:hint="eastAsia"/>
          <w:lang w:val="en-US" w:eastAsia="zh-CN"/>
        </w:rPr>
        <w:t>决议跟踪与验证</w:t>
      </w:r>
      <w:bookmarkEnd w:id="2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任务分解：《管理评审报告》中明确的改进决议和行动项，由质量管理部负责分解到各责任部门。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跟踪落实：各责任部门制定具体的实施计划。质量管理专员负责跟踪各项决议和行动项的执行进度。</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验证闭环：改进措施完成后，由质量管理部会同责任部门验证效果，确保管理评审输出得到有效落实，并作为下一次管理评审的输入。</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6" w:name="_Toc7834"/>
      <w:r>
        <w:rPr>
          <w:rFonts w:hint="eastAsia"/>
          <w:lang w:val="en-US" w:eastAsia="zh-CN"/>
        </w:rPr>
        <w:t>质量管理活动流程</w:t>
      </w:r>
      <w:bookmarkEnd w:id="26"/>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7" w:name="_Toc23696"/>
      <w:r>
        <w:rPr>
          <w:rFonts w:hint="eastAsia"/>
          <w:lang w:val="en-US" w:eastAsia="zh-CN"/>
        </w:rPr>
        <w:t>流程总述</w:t>
      </w:r>
      <w:bookmarkEnd w:id="2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运维服务质量管理是一个持续循环的过程，主要包括：质量目标策划、过程监控检查、数据分析、改进识别与实施、效果验证、满意度调查、内部审核及管理评审。</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8" w:name="_Toc31196"/>
      <w:r>
        <w:rPr>
          <w:rFonts w:hint="eastAsia"/>
          <w:lang w:val="en-US" w:eastAsia="zh-CN"/>
        </w:rPr>
        <w:t>质量策划与目标设定</w:t>
      </w:r>
      <w:bookmarkEnd w:id="2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每年初由质量管理部牵头，协同各相关部门，基于公司战略、客户要求及历史绩效，制定可量化的年度运维服务质量目标与关键指标（KPI），形成《年度质量目标计划》，报公司管理层批准后发布执行。</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9" w:name="_Toc8224"/>
      <w:r>
        <w:rPr>
          <w:rFonts w:hint="eastAsia"/>
          <w:lang w:val="en-US" w:eastAsia="zh-CN"/>
        </w:rPr>
        <w:t>质量监控与检查</w:t>
      </w:r>
      <w:bookmarkEnd w:id="2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各服务执行部门（主要是运维部）按照既定流程和标准提供服务，并记录过程数据。</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质量管理部通过定期（如月度、季度）检查、抽查、审核等方式，监控服务质量指标（KPI/SLA）的达成情况和服务过程的合规性。</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质量监控的数据来源包括：服务台记录、事件报告、变更记录、客户反馈、内部审核报告等。</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0" w:name="_Toc26570"/>
      <w:r>
        <w:rPr>
          <w:rFonts w:hint="eastAsia"/>
          <w:lang w:val="en-US" w:eastAsia="zh-CN"/>
        </w:rPr>
        <w:t>数据分析与改进识别</w:t>
      </w:r>
      <w:bookmarkEnd w:id="3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质量管理部定期对收集到的质量数据进行分析，识别趋势、异常和未达标项。</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结合定期的服务评审会议、内部审核结果、管理评审输出以及客户满意度调查反馈，系统性地识别服务、流程、技术或人员能力方面的改进机会。</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所有识别出的改进机会均应被记录和评估。</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1" w:name="_Toc665"/>
      <w:r>
        <w:rPr>
          <w:rFonts w:hint="eastAsia"/>
          <w:lang w:val="en-US" w:eastAsia="zh-CN"/>
        </w:rPr>
        <w:t>改进实施与验证</w:t>
      </w:r>
      <w:bookmarkEnd w:id="3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对确认采纳的改进机会，由质量管理部或指定的责任部门制定详细的《改进实施计划》。</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改进措施的实施可按照《运维服务能力改进管理制度》执行，分为单个流程改进和跨部门综合改进。</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改进措施完成后，必须进行效果验证，确认是否达到预期目标。验证结果需记录归档。</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2" w:name="_Toc14648"/>
      <w:r>
        <w:rPr>
          <w:rFonts w:hint="eastAsia"/>
          <w:lang w:val="en-US" w:eastAsia="zh-CN"/>
        </w:rPr>
        <w:t>知识固化</w:t>
      </w:r>
      <w:bookmarkEnd w:id="3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所有成功的改进实践、经验教训以及更新的最佳实践，应由责任部门整理成知识文档，经审核后纳入公司服务知识，实现知识的固化、分享与传承。</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3" w:name="_Toc10985"/>
      <w:r>
        <w:rPr>
          <w:rFonts w:hint="eastAsia"/>
          <w:lang w:val="en-US" w:eastAsia="zh-CN"/>
        </w:rPr>
        <w:t>考核指标</w:t>
      </w:r>
      <w:bookmarkEnd w:id="33"/>
    </w:p>
    <w:tbl>
      <w:tblPr>
        <w:tblStyle w:val="TableNormal"/>
        <w:tblW w:w="7675" w:type="dxa"/>
        <w:tblInd w:w="96" w:type="dxa"/>
        <w:tblBorders>
          <w:top w:val="nil"/>
          <w:left w:val="nil"/>
          <w:bottom w:val="nil"/>
          <w:right w:val="nil"/>
          <w:insideH w:val="nil"/>
          <w:insideV w:val="nil"/>
        </w:tblBorders>
        <w:shd w:val="clear" w:color="auto" w:fill="auto"/>
        <w:tblCellMar>
          <w:top w:w="0" w:type="dxa"/>
          <w:left w:w="108" w:type="dxa"/>
          <w:bottom w:w="0" w:type="dxa"/>
          <w:right w:w="108" w:type="dxa"/>
        </w:tblCellMar>
      </w:tblPr>
      <w:tblGrid>
        <w:gridCol w:w="1663"/>
        <w:gridCol w:w="1152"/>
        <w:gridCol w:w="3552"/>
        <w:gridCol w:w="1308"/>
      </w:tblGrid>
      <w:tr>
        <w:tblPrEx>
          <w:tblW w:w="7675" w:type="dxa"/>
          <w:tblInd w:w="96" w:type="dxa"/>
          <w:tblBorders>
            <w:top w:val="nil"/>
            <w:left w:val="nil"/>
            <w:bottom w:val="nil"/>
            <w:right w:val="nil"/>
            <w:insideH w:val="nil"/>
            <w:insideV w:val="nil"/>
          </w:tblBorders>
          <w:shd w:val="clear" w:color="auto" w:fill="auto"/>
          <w:tblCellMar>
            <w:top w:w="0" w:type="dxa"/>
            <w:left w:w="108" w:type="dxa"/>
            <w:bottom w:w="0" w:type="dxa"/>
            <w:right w:w="108" w:type="dxa"/>
          </w:tblCellMar>
        </w:tblPrEx>
        <w:trPr>
          <w:trHeight w:val="493"/>
        </w:trPr>
        <w:tc>
          <w:tcPr>
            <w:tcW w:w="1663" w:type="dxa"/>
            <w:tcBorders>
              <w:top w:val="single" w:sz="4" w:space="0" w:color="000000"/>
              <w:left w:val="single" w:sz="4" w:space="0" w:color="000000"/>
              <w:bottom w:val="single" w:sz="4" w:space="0" w:color="000000"/>
              <w:right w:val="single" w:sz="4" w:space="0" w:color="000000"/>
            </w:tcBorders>
            <w:shd w:val="clear" w:color="auto" w:fill="C0C0C0"/>
            <w:vAlign w:val="center"/>
          </w:tcPr>
          <w:p>
            <w:pPr>
              <w:keepNext w:val="0"/>
              <w:keepLines w:val="0"/>
              <w:widowControl/>
              <w:suppressLineNumbers w:val="0"/>
              <w:jc w:val="center"/>
              <w:textAlignment w:val="center"/>
              <w:rPr>
                <w:rFonts w:ascii="楷体_GB2312" w:eastAsia="楷体_GB2312" w:hAnsi="宋体" w:cs="楷体_GB2312" w:hint="default"/>
                <w:b/>
                <w:bCs/>
                <w:i w:val="0"/>
                <w:iCs w:val="0"/>
                <w:color w:val="000000"/>
                <w:sz w:val="22"/>
                <w:szCs w:val="22"/>
                <w:u w:val="none"/>
              </w:rPr>
            </w:pPr>
            <w:r>
              <w:rPr>
                <w:rFonts w:ascii="楷体_GB2312" w:eastAsia="楷体_GB2312" w:hAnsi="宋体" w:cs="楷体_GB2312" w:hint="default"/>
                <w:b/>
                <w:bCs/>
                <w:i w:val="0"/>
                <w:iCs w:val="0"/>
                <w:snapToGrid w:val="0"/>
                <w:color w:val="000000"/>
                <w:kern w:val="0"/>
                <w:sz w:val="22"/>
                <w:szCs w:val="22"/>
                <w:u w:val="none"/>
                <w:lang w:val="en-US" w:eastAsia="zh-CN"/>
              </w:rPr>
              <w:t>KPI</w:t>
            </w:r>
          </w:p>
        </w:tc>
        <w:tc>
          <w:tcPr>
            <w:tcW w:w="1152" w:type="dxa"/>
            <w:tcBorders>
              <w:top w:val="single" w:sz="4" w:space="0" w:color="000000"/>
              <w:left w:val="single" w:sz="4" w:space="0" w:color="000000"/>
              <w:bottom w:val="single" w:sz="4" w:space="0" w:color="000000"/>
              <w:right w:val="single" w:sz="4" w:space="0" w:color="000000"/>
            </w:tcBorders>
            <w:shd w:val="clear" w:color="auto" w:fill="C0C0C0"/>
            <w:vAlign w:val="center"/>
          </w:tcPr>
          <w:p>
            <w:pPr>
              <w:keepNext w:val="0"/>
              <w:keepLines w:val="0"/>
              <w:widowControl/>
              <w:suppressLineNumbers w:val="0"/>
              <w:jc w:val="center"/>
              <w:textAlignment w:val="center"/>
              <w:rPr>
                <w:rFonts w:ascii="楷体_GB2312" w:eastAsia="楷体_GB2312" w:hAnsi="宋体" w:cs="楷体_GB2312" w:hint="default"/>
                <w:b/>
                <w:bCs/>
                <w:i w:val="0"/>
                <w:iCs w:val="0"/>
                <w:color w:val="000000"/>
                <w:sz w:val="22"/>
                <w:szCs w:val="22"/>
                <w:u w:val="none"/>
              </w:rPr>
            </w:pPr>
            <w:r>
              <w:rPr>
                <w:rFonts w:ascii="楷体_GB2312" w:eastAsia="楷体_GB2312" w:hAnsi="宋体" w:cs="楷体_GB2312" w:hint="default"/>
                <w:b/>
                <w:bCs/>
                <w:i w:val="0"/>
                <w:iCs w:val="0"/>
                <w:snapToGrid w:val="0"/>
                <w:color w:val="000000"/>
                <w:kern w:val="0"/>
                <w:sz w:val="22"/>
                <w:szCs w:val="22"/>
                <w:u w:val="none"/>
                <w:lang w:val="en-US" w:eastAsia="zh-CN"/>
              </w:rPr>
              <w:t>目标值</w:t>
            </w:r>
          </w:p>
        </w:tc>
        <w:tc>
          <w:tcPr>
            <w:tcW w:w="3552" w:type="dxa"/>
            <w:tcBorders>
              <w:top w:val="single" w:sz="4" w:space="0" w:color="000000"/>
              <w:left w:val="single" w:sz="4" w:space="0" w:color="000000"/>
              <w:bottom w:val="single" w:sz="4" w:space="0" w:color="000000"/>
              <w:right w:val="single" w:sz="4" w:space="0" w:color="000000"/>
            </w:tcBorders>
            <w:shd w:val="clear" w:color="auto" w:fill="C0C0C0"/>
            <w:vAlign w:val="center"/>
          </w:tcPr>
          <w:p>
            <w:pPr>
              <w:keepNext w:val="0"/>
              <w:keepLines w:val="0"/>
              <w:widowControl/>
              <w:suppressLineNumbers w:val="0"/>
              <w:jc w:val="center"/>
              <w:textAlignment w:val="center"/>
              <w:rPr>
                <w:rFonts w:ascii="楷体_GB2312" w:eastAsia="楷体_GB2312" w:hAnsi="宋体" w:cs="楷体_GB2312" w:hint="default"/>
                <w:b/>
                <w:bCs/>
                <w:i w:val="0"/>
                <w:iCs w:val="0"/>
                <w:color w:val="000000"/>
                <w:sz w:val="22"/>
                <w:szCs w:val="22"/>
                <w:u w:val="none"/>
              </w:rPr>
            </w:pPr>
            <w:r>
              <w:rPr>
                <w:rFonts w:ascii="楷体_GB2312" w:eastAsia="楷体_GB2312" w:hAnsi="宋体" w:cs="楷体_GB2312" w:hint="default"/>
                <w:b/>
                <w:bCs/>
                <w:i w:val="0"/>
                <w:iCs w:val="0"/>
                <w:snapToGrid w:val="0"/>
                <w:color w:val="000000"/>
                <w:kern w:val="0"/>
                <w:sz w:val="22"/>
                <w:szCs w:val="22"/>
                <w:u w:val="none"/>
                <w:lang w:val="en-US" w:eastAsia="zh-CN"/>
              </w:rPr>
              <w:t>计算公式/方法</w:t>
            </w:r>
          </w:p>
        </w:tc>
        <w:tc>
          <w:tcPr>
            <w:tcW w:w="1308" w:type="dxa"/>
            <w:tcBorders>
              <w:top w:val="single" w:sz="4" w:space="0" w:color="000000"/>
              <w:left w:val="single" w:sz="4" w:space="0" w:color="000000"/>
              <w:bottom w:val="single" w:sz="4" w:space="0" w:color="000000"/>
              <w:right w:val="single" w:sz="4" w:space="0" w:color="000000"/>
            </w:tcBorders>
            <w:shd w:val="clear" w:color="auto" w:fill="C0C0C0"/>
            <w:vAlign w:val="center"/>
          </w:tcPr>
          <w:p>
            <w:pPr>
              <w:keepNext w:val="0"/>
              <w:keepLines w:val="0"/>
              <w:widowControl/>
              <w:suppressLineNumbers w:val="0"/>
              <w:jc w:val="center"/>
              <w:textAlignment w:val="center"/>
              <w:rPr>
                <w:rFonts w:ascii="楷体_GB2312" w:eastAsia="楷体_GB2312" w:hAnsi="宋体" w:cs="楷体_GB2312" w:hint="default"/>
                <w:b/>
                <w:bCs/>
                <w:i w:val="0"/>
                <w:iCs w:val="0"/>
                <w:color w:val="000000"/>
                <w:sz w:val="22"/>
                <w:szCs w:val="22"/>
                <w:u w:val="none"/>
              </w:rPr>
            </w:pPr>
            <w:r>
              <w:rPr>
                <w:rFonts w:ascii="楷体_GB2312" w:eastAsia="楷体_GB2312" w:hAnsi="宋体" w:cs="楷体_GB2312" w:hint="default"/>
                <w:b/>
                <w:bCs/>
                <w:i w:val="0"/>
                <w:iCs w:val="0"/>
                <w:snapToGrid w:val="0"/>
                <w:color w:val="000000"/>
                <w:kern w:val="0"/>
                <w:sz w:val="22"/>
                <w:szCs w:val="22"/>
                <w:u w:val="none"/>
                <w:lang w:val="en-US" w:eastAsia="zh-CN"/>
              </w:rPr>
              <w:t>频度</w:t>
            </w:r>
          </w:p>
        </w:tc>
      </w:tr>
      <w:tr>
        <w:tblPrEx>
          <w:tblW w:w="7675" w:type="dxa"/>
          <w:tblInd w:w="96" w:type="dxa"/>
          <w:shd w:val="clear" w:color="auto" w:fill="auto"/>
          <w:tblCellMar>
            <w:top w:w="0" w:type="dxa"/>
            <w:left w:w="108" w:type="dxa"/>
            <w:bottom w:w="0" w:type="dxa"/>
            <w:right w:w="108" w:type="dxa"/>
          </w:tblCellMar>
        </w:tblPrEx>
        <w:trPr>
          <w:trHeight w:val="493"/>
        </w:trPr>
        <w:tc>
          <w:tcPr>
            <w:tcW w:w="166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ind w:left="0" w:right="0" w:firstLine="0" w:leftChars="0" w:rightChars="0" w:firstLineChars="0"/>
              <w:jc w:val="center"/>
              <w:textAlignment w:val="center"/>
              <w:rPr>
                <w:rFonts w:ascii="楷体_GB2312" w:eastAsia="楷体_GB2312" w:hAnsi="宋体" w:cs="楷体_GB2312" w:hint="default"/>
                <w:b/>
                <w:bCs/>
                <w:i w:val="0"/>
                <w:iCs w:val="0"/>
                <w:snapToGrid w:val="0"/>
                <w:color w:val="000000"/>
                <w:kern w:val="0"/>
                <w:sz w:val="22"/>
                <w:szCs w:val="22"/>
                <w:u w:val="none"/>
                <w:lang w:val="en-US" w:eastAsia="zh-CN"/>
              </w:rPr>
            </w:pPr>
            <w:r>
              <w:rPr>
                <w:rFonts w:ascii="宋体" w:eastAsia="宋体" w:hAnsi="宋体" w:cs="宋体" w:hint="eastAsia"/>
                <w:i w:val="0"/>
                <w:iCs w:val="0"/>
                <w:snapToGrid w:val="0"/>
                <w:color w:val="000000"/>
                <w:kern w:val="0"/>
                <w:sz w:val="21"/>
                <w:szCs w:val="21"/>
                <w:u w:val="none"/>
                <w:lang w:val="en-US" w:eastAsia="zh-CN"/>
              </w:rPr>
              <w:t>内审次数</w:t>
            </w:r>
          </w:p>
        </w:tc>
        <w:tc>
          <w:tcPr>
            <w:tcW w:w="115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楷体_GB2312" w:eastAsia="楷体_GB2312" w:hAnsi="宋体" w:cs="楷体_GB2312" w:hint="default"/>
                <w:b/>
                <w:bCs/>
                <w:i w:val="0"/>
                <w:iCs w:val="0"/>
                <w:snapToGrid w:val="0"/>
                <w:color w:val="000000"/>
                <w:kern w:val="0"/>
                <w:sz w:val="22"/>
                <w:szCs w:val="22"/>
                <w:u w:val="none"/>
                <w:lang w:val="en-US" w:eastAsia="zh-CN"/>
              </w:rPr>
            </w:pPr>
            <w:r>
              <w:rPr>
                <w:rFonts w:ascii="宋体" w:eastAsia="宋体" w:hAnsi="宋体" w:cs="宋体" w:hint="eastAsia"/>
                <w:i w:val="0"/>
                <w:iCs w:val="0"/>
                <w:snapToGrid w:val="0"/>
                <w:color w:val="000000"/>
                <w:kern w:val="0"/>
                <w:sz w:val="21"/>
                <w:szCs w:val="21"/>
                <w:u w:val="none"/>
                <w:lang w:val="en-US" w:eastAsia="zh-CN"/>
              </w:rPr>
              <w:t>≥1次</w:t>
            </w:r>
          </w:p>
        </w:tc>
        <w:tc>
          <w:tcPr>
            <w:tcW w:w="355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楷体_GB2312" w:eastAsia="楷体_GB2312" w:hAnsi="宋体" w:cs="楷体_GB2312" w:hint="default"/>
                <w:b/>
                <w:bCs/>
                <w:i w:val="0"/>
                <w:iCs w:val="0"/>
                <w:snapToGrid w:val="0"/>
                <w:color w:val="000000"/>
                <w:kern w:val="0"/>
                <w:sz w:val="22"/>
                <w:szCs w:val="22"/>
                <w:u w:val="none"/>
                <w:lang w:val="en-US" w:eastAsia="zh-CN"/>
              </w:rPr>
            </w:pPr>
            <w:r>
              <w:rPr>
                <w:rFonts w:ascii="宋体" w:eastAsia="宋体" w:hAnsi="宋体" w:cs="宋体" w:hint="eastAsia"/>
                <w:i w:val="0"/>
                <w:iCs w:val="0"/>
                <w:snapToGrid w:val="0"/>
                <w:color w:val="000000"/>
                <w:kern w:val="0"/>
                <w:sz w:val="21"/>
                <w:szCs w:val="21"/>
                <w:u w:val="none"/>
                <w:lang w:val="en-US" w:eastAsia="zh-CN"/>
              </w:rPr>
              <w:t>数量，内审报告数量</w:t>
            </w:r>
          </w:p>
        </w:tc>
        <w:tc>
          <w:tcPr>
            <w:tcW w:w="1308"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楷体_GB2312" w:eastAsia="楷体_GB2312" w:hAnsi="宋体" w:cs="楷体_GB2312" w:hint="default"/>
                <w:b/>
                <w:bCs/>
                <w:i w:val="0"/>
                <w:iCs w:val="0"/>
                <w:snapToGrid w:val="0"/>
                <w:color w:val="000000"/>
                <w:kern w:val="0"/>
                <w:sz w:val="22"/>
                <w:szCs w:val="22"/>
                <w:u w:val="none"/>
                <w:lang w:val="en-US" w:eastAsia="zh-CN"/>
              </w:rPr>
            </w:pPr>
            <w:r>
              <w:rPr>
                <w:rFonts w:ascii="宋体" w:eastAsia="宋体" w:hAnsi="宋体" w:cs="宋体" w:hint="eastAsia"/>
                <w:i w:val="0"/>
                <w:iCs w:val="0"/>
                <w:snapToGrid w:val="0"/>
                <w:color w:val="000000"/>
                <w:kern w:val="0"/>
                <w:sz w:val="21"/>
                <w:szCs w:val="21"/>
                <w:u w:val="none"/>
                <w:lang w:val="en-US" w:eastAsia="zh-CN"/>
              </w:rPr>
              <w:t>年度</w:t>
            </w:r>
          </w:p>
        </w:tc>
      </w:tr>
      <w:tr>
        <w:tblPrEx>
          <w:tblW w:w="7675" w:type="dxa"/>
          <w:tblInd w:w="96" w:type="dxa"/>
          <w:shd w:val="clear" w:color="auto" w:fill="auto"/>
          <w:tblCellMar>
            <w:top w:w="0" w:type="dxa"/>
            <w:left w:w="108" w:type="dxa"/>
            <w:bottom w:w="0" w:type="dxa"/>
            <w:right w:w="108" w:type="dxa"/>
          </w:tblCellMar>
        </w:tblPrEx>
        <w:trPr>
          <w:trHeight w:val="493"/>
        </w:trPr>
        <w:tc>
          <w:tcPr>
            <w:tcW w:w="166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ind w:left="0" w:right="0" w:firstLine="0" w:leftChars="0" w:rightChars="0" w:firstLineChars="0"/>
              <w:jc w:val="center"/>
              <w:textAlignment w:val="center"/>
              <w:rPr>
                <w:rFonts w:ascii="宋体" w:eastAsia="宋体" w:hAnsi="宋体" w:cs="宋体" w:hint="eastAsia"/>
                <w:i w:val="0"/>
                <w:iCs w:val="0"/>
                <w:snapToGrid w:val="0"/>
                <w:color w:val="000000"/>
                <w:kern w:val="0"/>
                <w:sz w:val="21"/>
                <w:szCs w:val="21"/>
                <w:u w:val="none"/>
                <w:lang w:val="en-US" w:eastAsia="zh-CN"/>
              </w:rPr>
            </w:pPr>
            <w:r>
              <w:rPr>
                <w:rFonts w:ascii="宋体" w:eastAsia="宋体" w:hAnsi="宋体" w:cs="宋体" w:hint="eastAsia"/>
                <w:i w:val="0"/>
                <w:iCs w:val="0"/>
                <w:snapToGrid w:val="0"/>
                <w:color w:val="000000"/>
                <w:kern w:val="0"/>
                <w:sz w:val="21"/>
                <w:szCs w:val="21"/>
                <w:u w:val="none"/>
                <w:lang w:val="en-US" w:eastAsia="zh-CN"/>
              </w:rPr>
              <w:t>管理评审次数</w:t>
            </w:r>
          </w:p>
        </w:tc>
        <w:tc>
          <w:tcPr>
            <w:tcW w:w="115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宋体" w:eastAsia="宋体" w:hAnsi="宋体" w:cs="宋体" w:hint="eastAsia"/>
                <w:i w:val="0"/>
                <w:iCs w:val="0"/>
                <w:snapToGrid w:val="0"/>
                <w:color w:val="000000"/>
                <w:kern w:val="0"/>
                <w:sz w:val="21"/>
                <w:szCs w:val="21"/>
                <w:u w:val="none"/>
                <w:lang w:val="en-US" w:eastAsia="zh-CN"/>
              </w:rPr>
            </w:pPr>
            <w:r>
              <w:rPr>
                <w:rFonts w:ascii="宋体" w:eastAsia="宋体" w:hAnsi="宋体" w:cs="宋体" w:hint="eastAsia"/>
                <w:i w:val="0"/>
                <w:iCs w:val="0"/>
                <w:snapToGrid w:val="0"/>
                <w:color w:val="000000"/>
                <w:kern w:val="0"/>
                <w:sz w:val="21"/>
                <w:szCs w:val="21"/>
                <w:u w:val="none"/>
                <w:lang w:val="en-US" w:eastAsia="zh-CN"/>
              </w:rPr>
              <w:t>≥1次</w:t>
            </w:r>
          </w:p>
        </w:tc>
        <w:tc>
          <w:tcPr>
            <w:tcW w:w="355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宋体" w:eastAsia="宋体" w:hAnsi="宋体" w:cs="宋体" w:hint="eastAsia"/>
                <w:i w:val="0"/>
                <w:iCs w:val="0"/>
                <w:snapToGrid w:val="0"/>
                <w:color w:val="000000"/>
                <w:kern w:val="0"/>
                <w:sz w:val="21"/>
                <w:szCs w:val="21"/>
                <w:u w:val="none"/>
                <w:lang w:val="en-US" w:eastAsia="zh-CN"/>
              </w:rPr>
            </w:pPr>
            <w:r>
              <w:rPr>
                <w:rFonts w:ascii="宋体" w:eastAsia="宋体" w:hAnsi="宋体" w:cs="宋体" w:hint="eastAsia"/>
                <w:i w:val="0"/>
                <w:iCs w:val="0"/>
                <w:snapToGrid w:val="0"/>
                <w:color w:val="000000"/>
                <w:kern w:val="0"/>
                <w:sz w:val="21"/>
                <w:szCs w:val="21"/>
                <w:u w:val="none"/>
                <w:lang w:val="en-US" w:eastAsia="zh-CN"/>
              </w:rPr>
              <w:t>数量，管理评审报告数量</w:t>
            </w:r>
          </w:p>
        </w:tc>
        <w:tc>
          <w:tcPr>
            <w:tcW w:w="1308"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宋体" w:eastAsia="宋体" w:hAnsi="宋体" w:cs="宋体" w:hint="eastAsia"/>
                <w:i w:val="0"/>
                <w:iCs w:val="0"/>
                <w:snapToGrid w:val="0"/>
                <w:color w:val="000000"/>
                <w:kern w:val="0"/>
                <w:sz w:val="21"/>
                <w:szCs w:val="21"/>
                <w:u w:val="none"/>
                <w:lang w:val="en-US" w:eastAsia="zh-CN"/>
              </w:rPr>
            </w:pPr>
            <w:r>
              <w:rPr>
                <w:rFonts w:ascii="宋体" w:eastAsia="宋体" w:hAnsi="宋体" w:cs="宋体" w:hint="eastAsia"/>
                <w:i w:val="0"/>
                <w:iCs w:val="0"/>
                <w:snapToGrid w:val="0"/>
                <w:color w:val="000000"/>
                <w:kern w:val="0"/>
                <w:sz w:val="21"/>
                <w:szCs w:val="21"/>
                <w:u w:val="none"/>
                <w:lang w:val="en-US" w:eastAsia="zh-CN"/>
              </w:rPr>
              <w:t>年度</w:t>
            </w:r>
          </w:p>
        </w:tc>
      </w:tr>
      <w:tr>
        <w:tblPrEx>
          <w:tblW w:w="7675" w:type="dxa"/>
          <w:tblInd w:w="96" w:type="dxa"/>
          <w:shd w:val="clear" w:color="auto" w:fill="auto"/>
          <w:tblCellMar>
            <w:top w:w="0" w:type="dxa"/>
            <w:left w:w="108" w:type="dxa"/>
            <w:bottom w:w="0" w:type="dxa"/>
            <w:right w:w="108" w:type="dxa"/>
          </w:tblCellMar>
        </w:tblPrEx>
        <w:trPr>
          <w:trHeight w:val="493"/>
        </w:trPr>
        <w:tc>
          <w:tcPr>
            <w:tcW w:w="166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ind w:left="0" w:right="0" w:firstLine="0" w:leftChars="0" w:rightChars="0" w:firstLineChars="0"/>
              <w:jc w:val="center"/>
              <w:textAlignment w:val="center"/>
              <w:rPr>
                <w:rFonts w:ascii="宋体" w:eastAsia="宋体" w:hAnsi="宋体" w:cs="宋体" w:hint="eastAsia"/>
                <w:i w:val="0"/>
                <w:iCs w:val="0"/>
                <w:snapToGrid w:val="0"/>
                <w:color w:val="000000"/>
                <w:kern w:val="0"/>
                <w:sz w:val="21"/>
                <w:szCs w:val="21"/>
                <w:u w:val="none"/>
                <w:lang w:val="en-US" w:eastAsia="zh-CN"/>
              </w:rPr>
            </w:pPr>
            <w:r>
              <w:rPr>
                <w:rFonts w:ascii="宋体" w:eastAsia="宋体" w:hAnsi="宋体" w:cs="宋体" w:hint="eastAsia"/>
                <w:i w:val="0"/>
                <w:iCs w:val="0"/>
                <w:snapToGrid w:val="0"/>
                <w:color w:val="000000"/>
                <w:kern w:val="0"/>
                <w:sz w:val="21"/>
                <w:szCs w:val="21"/>
                <w:u w:val="none"/>
                <w:lang w:val="en-US" w:eastAsia="zh-CN"/>
              </w:rPr>
              <w:t>客户满意度</w:t>
            </w:r>
          </w:p>
        </w:tc>
        <w:tc>
          <w:tcPr>
            <w:tcW w:w="115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宋体" w:eastAsia="宋体" w:hAnsi="宋体" w:cs="宋体" w:hint="eastAsia"/>
                <w:i w:val="0"/>
                <w:iCs w:val="0"/>
                <w:snapToGrid w:val="0"/>
                <w:color w:val="000000"/>
                <w:kern w:val="0"/>
                <w:sz w:val="21"/>
                <w:szCs w:val="21"/>
                <w:u w:val="none"/>
                <w:lang w:val="en-US" w:eastAsia="zh-CN"/>
              </w:rPr>
            </w:pPr>
            <w:r>
              <w:rPr>
                <w:rFonts w:ascii="宋体" w:eastAsia="宋体" w:hAnsi="宋体" w:cs="宋体" w:hint="eastAsia"/>
                <w:i w:val="0"/>
                <w:iCs w:val="0"/>
                <w:snapToGrid w:val="0"/>
                <w:color w:val="000000"/>
                <w:kern w:val="0"/>
                <w:sz w:val="21"/>
                <w:szCs w:val="21"/>
                <w:u w:val="none"/>
                <w:lang w:val="en-US" w:eastAsia="zh-CN"/>
              </w:rPr>
              <w:t>≥90%</w:t>
            </w:r>
          </w:p>
        </w:tc>
        <w:tc>
          <w:tcPr>
            <w:tcW w:w="355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宋体" w:eastAsia="宋体" w:hAnsi="宋体" w:cs="宋体" w:hint="eastAsia"/>
                <w:i w:val="0"/>
                <w:iCs w:val="0"/>
                <w:snapToGrid w:val="0"/>
                <w:color w:val="000000"/>
                <w:kern w:val="0"/>
                <w:sz w:val="21"/>
                <w:szCs w:val="21"/>
                <w:u w:val="none"/>
                <w:lang w:val="en-US" w:eastAsia="zh-CN"/>
              </w:rPr>
            </w:pPr>
            <w:r>
              <w:drawing>
                <wp:inline distT="0" distB="0" distL="114300" distR="114300">
                  <wp:extent cx="1847215" cy="255905"/>
                  <wp:effectExtent l="0" t="0" r="0" b="2540"/>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xmlns:r="http://schemas.openxmlformats.org/officeDocument/2006/relationships" r:embed="rId7"/>
                          <a:stretch>
                            <a:fillRect/>
                          </a:stretch>
                        </pic:blipFill>
                        <pic:spPr>
                          <a:xfrm>
                            <a:off x="0" y="0"/>
                            <a:ext cx="1847215" cy="255905"/>
                          </a:xfrm>
                          <a:prstGeom prst="rect">
                            <a:avLst/>
                          </a:prstGeom>
                          <a:noFill/>
                          <a:ln>
                            <a:noFill/>
                          </a:ln>
                        </pic:spPr>
                      </pic:pic>
                    </a:graphicData>
                  </a:graphic>
                </wp:inline>
              </w:drawing>
            </w:r>
          </w:p>
        </w:tc>
        <w:tc>
          <w:tcPr>
            <w:tcW w:w="1308"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宋体" w:eastAsia="宋体" w:hAnsi="宋体" w:cs="宋体" w:hint="eastAsia"/>
                <w:i w:val="0"/>
                <w:iCs w:val="0"/>
                <w:snapToGrid w:val="0"/>
                <w:color w:val="000000"/>
                <w:kern w:val="0"/>
                <w:sz w:val="21"/>
                <w:szCs w:val="21"/>
                <w:u w:val="none"/>
                <w:lang w:val="en-US" w:eastAsia="zh-CN"/>
              </w:rPr>
            </w:pPr>
            <w:r>
              <w:rPr>
                <w:rFonts w:ascii="宋体" w:eastAsia="宋体" w:hAnsi="宋体" w:cs="宋体" w:hint="eastAsia"/>
                <w:i w:val="0"/>
                <w:iCs w:val="0"/>
                <w:snapToGrid w:val="0"/>
                <w:color w:val="000000"/>
                <w:kern w:val="0"/>
                <w:sz w:val="21"/>
                <w:szCs w:val="21"/>
                <w:u w:val="none"/>
                <w:lang w:val="en-US" w:eastAsia="zh-CN"/>
              </w:rPr>
              <w:t>半年度</w:t>
            </w:r>
          </w:p>
        </w:tc>
      </w:tr>
      <w:tr>
        <w:tblPrEx>
          <w:tblW w:w="7675" w:type="dxa"/>
          <w:tblInd w:w="96" w:type="dxa"/>
          <w:shd w:val="clear" w:color="auto" w:fill="auto"/>
          <w:tblCellMar>
            <w:top w:w="0" w:type="dxa"/>
            <w:left w:w="108" w:type="dxa"/>
            <w:bottom w:w="0" w:type="dxa"/>
            <w:right w:w="108" w:type="dxa"/>
          </w:tblCellMar>
        </w:tblPrEx>
        <w:trPr>
          <w:trHeight w:val="493"/>
        </w:trPr>
        <w:tc>
          <w:tcPr>
            <w:tcW w:w="166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ind w:left="0" w:right="0" w:firstLine="0" w:leftChars="0" w:rightChars="0" w:firstLineChars="0"/>
              <w:jc w:val="center"/>
              <w:textAlignment w:val="center"/>
              <w:rPr>
                <w:rFonts w:ascii="宋体" w:eastAsia="宋体" w:hAnsi="宋体" w:cs="宋体" w:hint="eastAsia"/>
                <w:i w:val="0"/>
                <w:iCs w:val="0"/>
                <w:snapToGrid w:val="0"/>
                <w:color w:val="000000"/>
                <w:kern w:val="0"/>
                <w:sz w:val="21"/>
                <w:szCs w:val="21"/>
                <w:u w:val="none"/>
                <w:lang w:val="en-US" w:eastAsia="zh-CN"/>
              </w:rPr>
            </w:pPr>
            <w:r>
              <w:rPr>
                <w:rFonts w:ascii="宋体" w:eastAsia="宋体" w:hAnsi="宋体" w:cs="宋体" w:hint="eastAsia"/>
                <w:i w:val="0"/>
                <w:iCs w:val="0"/>
                <w:snapToGrid w:val="0"/>
                <w:color w:val="000000"/>
                <w:kern w:val="0"/>
                <w:sz w:val="21"/>
                <w:szCs w:val="21"/>
                <w:u w:val="none"/>
                <w:lang w:val="en-US" w:eastAsia="zh-CN"/>
              </w:rPr>
              <w:t>客户投诉次数</w:t>
            </w:r>
          </w:p>
        </w:tc>
        <w:tc>
          <w:tcPr>
            <w:tcW w:w="115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宋体" w:eastAsia="宋体" w:hAnsi="宋体" w:cs="宋体" w:hint="eastAsia"/>
                <w:i w:val="0"/>
                <w:iCs w:val="0"/>
                <w:snapToGrid w:val="0"/>
                <w:color w:val="000000"/>
                <w:kern w:val="0"/>
                <w:sz w:val="21"/>
                <w:szCs w:val="21"/>
                <w:u w:val="none"/>
                <w:lang w:val="en-US" w:eastAsia="zh-CN"/>
              </w:rPr>
            </w:pPr>
            <w:r>
              <w:rPr>
                <w:rFonts w:ascii="宋体" w:eastAsia="宋体" w:hAnsi="宋体" w:cs="宋体" w:hint="eastAsia"/>
                <w:i w:val="0"/>
                <w:iCs w:val="0"/>
                <w:snapToGrid w:val="0"/>
                <w:color w:val="000000"/>
                <w:kern w:val="0"/>
                <w:sz w:val="21"/>
                <w:szCs w:val="21"/>
                <w:u w:val="none"/>
                <w:lang w:val="en-US" w:eastAsia="zh-CN"/>
              </w:rPr>
              <w:t>≤2次</w:t>
            </w:r>
          </w:p>
        </w:tc>
        <w:tc>
          <w:tcPr>
            <w:tcW w:w="355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宋体" w:eastAsia="宋体" w:hAnsi="宋体" w:cs="宋体" w:hint="eastAsia"/>
                <w:i w:val="0"/>
                <w:iCs w:val="0"/>
                <w:snapToGrid w:val="0"/>
                <w:color w:val="000000"/>
                <w:kern w:val="0"/>
                <w:sz w:val="21"/>
                <w:szCs w:val="21"/>
                <w:u w:val="none"/>
                <w:lang w:val="en-US" w:eastAsia="zh-CN"/>
              </w:rPr>
            </w:pPr>
            <w:r>
              <w:rPr>
                <w:rFonts w:ascii="宋体" w:eastAsia="宋体" w:hAnsi="宋体" w:cs="宋体" w:hint="eastAsia"/>
                <w:i w:val="0"/>
                <w:iCs w:val="0"/>
                <w:snapToGrid w:val="0"/>
                <w:color w:val="000000"/>
                <w:kern w:val="0"/>
                <w:sz w:val="21"/>
                <w:szCs w:val="21"/>
                <w:u w:val="none"/>
                <w:lang w:val="en-US" w:eastAsia="zh-CN"/>
              </w:rPr>
              <w:t>每年客户投诉数量</w:t>
            </w:r>
          </w:p>
        </w:tc>
        <w:tc>
          <w:tcPr>
            <w:tcW w:w="1308"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宋体" w:eastAsia="宋体" w:hAnsi="宋体" w:cs="宋体" w:hint="eastAsia"/>
                <w:i w:val="0"/>
                <w:iCs w:val="0"/>
                <w:snapToGrid w:val="0"/>
                <w:color w:val="000000"/>
                <w:kern w:val="0"/>
                <w:sz w:val="21"/>
                <w:szCs w:val="21"/>
                <w:u w:val="none"/>
                <w:lang w:val="en-US" w:eastAsia="zh-CN"/>
              </w:rPr>
            </w:pPr>
            <w:r>
              <w:rPr>
                <w:rFonts w:ascii="宋体" w:eastAsia="宋体" w:hAnsi="宋体" w:cs="宋体" w:hint="eastAsia"/>
                <w:i w:val="0"/>
                <w:iCs w:val="0"/>
                <w:snapToGrid w:val="0"/>
                <w:color w:val="000000"/>
                <w:kern w:val="0"/>
                <w:sz w:val="21"/>
                <w:szCs w:val="21"/>
                <w:u w:val="none"/>
                <w:lang w:val="en-US" w:eastAsia="zh-CN"/>
              </w:rPr>
              <w:t>年度</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4" w:name="_Toc21783"/>
      <w:r>
        <w:rPr>
          <w:rFonts w:hint="eastAsia"/>
          <w:lang w:val="en-US" w:eastAsia="zh-CN"/>
        </w:rPr>
        <w:t>附则</w:t>
      </w:r>
      <w:bookmarkEnd w:id="3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本制度由质量管理部负责解释与修订。</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本制度自发布之日起正式实施，原相关管理规定与本制度不一致的，以本制度为准。</w:t>
      </w:r>
    </w:p>
    <w:sectPr>
      <w:headerReference w:type="default" r:id="rId8"/>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楷体_GB2312">
    <w:altName w:val="楷体"/>
    <w:panose1 w:val="00000000000000000000"/>
    <w:charset w:val="00"/>
    <w:family w:val="auto"/>
    <w:pitch w:val="default"/>
    <w:sig w:usb0="00000000" w:usb1="00000000" w:usb2="00000000" w:usb3="00000000" w:csb0="00000000" w:csb1="00000000"/>
  </w:font>
  <w:font w:name="楷体">
    <w:panose1 w:val="02010609060101010101"/>
    <w:charset w:val="86"/>
    <w:family w:val="auto"/>
    <w:pitch w:val="default"/>
    <w:sig w:usb0="800002BF" w:usb1="38CF7CFA" w:usb2="00000016" w:usb3="00000000" w:csb0="00040001" w:csb1="00000000"/>
  </w:font>
  <w:font w:name="KSOFF9CC6125">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tabs>
        <w:tab w:val="left" w:pos="335"/>
        <w:tab w:val="right" w:pos="8426"/>
      </w:tabs>
      <w:jc w:val="right"/>
      <w:rPr>
        <w:rFonts w:eastAsiaTheme="minorEastAsia" w:hint="eastAsia"/>
        <w:lang w:eastAsia="zh-CN"/>
      </w:rPr>
    </w:pPr>
    <w:r>
      <w:rPr>
        <w:rFonts w:eastAsiaTheme="minorEastAsia" w:hint="eastAsia"/>
        <w:lang w:val="en-US" w:eastAsia="zh-CN"/>
      </w:rPr>
      <w:tab/>
    </w:r>
    <w:r>
      <w:rPr>
        <w:rFonts w:eastAsiaTheme="minorEastAsia" w:hint="eastAsia"/>
        <w:lang w:val="en-US" w:eastAsia="zh-CN"/>
      </w:rPr>
      <w:tab/>
    </w:r>
    <w:r>
      <w:rPr>
        <w:rFonts w:eastAsiaTheme="minorEastAsia" w:hint="eastAsia"/>
        <w:lang w:val="en-US" w:eastAsia="zh-CN"/>
      </w:rPr>
      <w:t>桐乡华数广电网络有限公司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AF15EAC7"/>
    <w:multiLevelType w:val="singleLevel"/>
    <w:tmpl w:val="AF15EAC7"/>
    <w:lvl w:ilvl="0">
      <w:start w:val="1"/>
      <w:numFmt w:val="decimal"/>
      <w:lvlText w:val="%1."/>
      <w:lvlJc w:val="left"/>
      <w:pPr>
        <w:ind w:left="425" w:hanging="425"/>
      </w:pPr>
      <w:rPr>
        <w:rFonts w:hint="default"/>
      </w:rPr>
    </w:lvl>
  </w:abstractNum>
  <w:abstractNum w:abstractNumId="2">
    <w:nsid w:val="B2F45703"/>
    <w:multiLevelType w:val="singleLevel"/>
    <w:tmpl w:val="B2F45703"/>
    <w:lvl w:ilvl="0">
      <w:start w:val="1"/>
      <w:numFmt w:val="decimal"/>
      <w:lvlText w:val="%1."/>
      <w:lvlJc w:val="left"/>
      <w:pPr>
        <w:ind w:left="425" w:hanging="425"/>
      </w:pPr>
      <w:rPr>
        <w:rFonts w:hint="default"/>
      </w:rPr>
    </w:lvl>
  </w:abstractNum>
  <w:abstractNum w:abstractNumId="3">
    <w:nsid w:val="D46F6FA1"/>
    <w:multiLevelType w:val="singleLevel"/>
    <w:tmpl w:val="D46F6FA1"/>
    <w:lvl w:ilvl="0">
      <w:start w:val="1"/>
      <w:numFmt w:val="decimal"/>
      <w:lvlText w:val="%1."/>
      <w:lvlJc w:val="left"/>
      <w:pPr>
        <w:ind w:left="425" w:hanging="425"/>
      </w:pPr>
      <w:rPr>
        <w:rFonts w:hint="default"/>
      </w:rPr>
    </w:lvl>
  </w:abstractNum>
  <w:abstractNum w:abstractNumId="4">
    <w:nsid w:val="0871B627"/>
    <w:multiLevelType w:val="singleLevel"/>
    <w:tmpl w:val="0871B627"/>
    <w:lvl w:ilvl="0">
      <w:start w:val="1"/>
      <w:numFmt w:val="decimal"/>
      <w:lvlText w:val="%1."/>
      <w:lvlJc w:val="left"/>
      <w:pPr>
        <w:ind w:left="425" w:hanging="425"/>
      </w:pPr>
      <w:rPr>
        <w:rFonts w:hint="default"/>
      </w:rPr>
    </w:lvl>
  </w:abstractNum>
  <w:num w:numId="1">
    <w:abstractNumId w:val="0"/>
  </w:num>
  <w:num w:numId="2">
    <w:abstractNumId w:val="1"/>
  </w:num>
  <w:num w:numId="3">
    <w:abstractNumId w:val="4"/>
  </w:num>
  <w:num w:numId="4">
    <w:abstractNumId w:val="2"/>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numbering" Target="numbering.xml" /><Relationship Id="rId11"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image" Target="media/image2.png" /><Relationship Id="rId6" Type="http://schemas.openxmlformats.org/officeDocument/2006/relationships/image" Target="media/image3.png" /><Relationship Id="rId7" Type="http://schemas.openxmlformats.org/officeDocument/2006/relationships/image" Target="media/image4.png" /><Relationship Id="rId8" Type="http://schemas.openxmlformats.org/officeDocument/2006/relationships/header" Target="header1.xml" /><Relationship Id="rId9" Type="http://schemas.openxmlformats.org/officeDocument/2006/relationships/theme" Target="theme/theme1.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11</Pages>
  <Words>3929</Words>
  <Characters>4107</Characters>
  <Application>Microsoft Office Word</Application>
  <DocSecurity>0</DocSecurity>
  <Lines>0</Lines>
  <Paragraphs>0</Paragraphs>
  <ScaleCrop>false</ScaleCrop>
  <Company/>
  <LinksUpToDate>false</LinksUpToDate>
  <CharactersWithSpaces>4173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2026-05-06T05:26:56Z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2052-12.1.0.25865</vt:lpwstr>
  </property>
  <property fmtid="{D5CDD505-2E9C-101B-9397-08002B2CF9AE}" pid="4" name="KSOTemplateDocerSaveRecord">
    <vt:lpwstr>eyJoZGlkIjoiZWI4NmUzMGY2ODA3MDc4ZTFlMjZjZTAyMjM0NmVmODgiLCJ1c2VySWQiOiIxMDc1MzgyOSJ9</vt:lpwstr>
  </property>
</Properties>
</file>