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158D52">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6886"/>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4A512B14">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0817"/>
      <w:r>
        <w:rPr>
          <w:rFonts w:hint="eastAsia"/>
          <w:lang w:val="en-US" w:eastAsia="zh-CN"/>
        </w:rPr>
        <w:t>运维服务质量改进管理制度</w:t>
      </w:r>
      <w:bookmarkEnd w:id="1"/>
    </w:p>
    <w:p w14:paraId="0AF6FA40">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C1C0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2C327A7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2D3C1369">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3959F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54589011">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14:paraId="0503C507">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7FCF9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FB5C48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466D21DD">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141EBC27">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19D9E9E6">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7C998E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7F43EEA1">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FD834E6">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7063C5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57F712BC">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571D3DA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4F2DFC0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F9247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shd w:val="clear" w:color="auto" w:fill="auto"/>
          </w:tcPr>
          <w:p w14:paraId="51BA2925">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72" w:type="dxa"/>
            <w:shd w:val="clear" w:color="auto" w:fill="auto"/>
          </w:tcPr>
          <w:p w14:paraId="727857F4">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pacing w:val="4"/>
                <w:position w:val="1"/>
                <w:sz w:val="20"/>
                <w:szCs w:val="20"/>
              </w:rPr>
              <w:t>V1.0</w:t>
            </w:r>
          </w:p>
        </w:tc>
        <w:tc>
          <w:tcPr>
            <w:tcW w:w="1575" w:type="dxa"/>
            <w:shd w:val="clear" w:color="auto" w:fill="auto"/>
          </w:tcPr>
          <w:p w14:paraId="329D7EAE">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shd w:val="clear" w:color="auto" w:fill="auto"/>
          </w:tcPr>
          <w:p w14:paraId="11775B8E">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李伟</w:t>
            </w:r>
          </w:p>
        </w:tc>
        <w:tc>
          <w:tcPr>
            <w:tcW w:w="1606" w:type="dxa"/>
            <w:shd w:val="clear" w:color="auto" w:fill="auto"/>
          </w:tcPr>
          <w:p w14:paraId="47E8108F">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陈凯</w:t>
            </w:r>
          </w:p>
        </w:tc>
        <w:tc>
          <w:tcPr>
            <w:tcW w:w="915" w:type="dxa"/>
            <w:shd w:val="clear" w:color="auto" w:fill="auto"/>
          </w:tcPr>
          <w:p w14:paraId="123D7B69">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吴亚红</w:t>
            </w:r>
          </w:p>
        </w:tc>
      </w:tr>
      <w:tr w14:paraId="0A1570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250C811">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pPr>
          </w:p>
        </w:tc>
        <w:tc>
          <w:tcPr>
            <w:tcW w:w="972" w:type="dxa"/>
          </w:tcPr>
          <w:p w14:paraId="37E65F74">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pPr>
          </w:p>
        </w:tc>
        <w:tc>
          <w:tcPr>
            <w:tcW w:w="1575" w:type="dxa"/>
          </w:tcPr>
          <w:p w14:paraId="03079555">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hint="default"/>
                <w:lang w:val="en-US"/>
              </w:rPr>
            </w:pPr>
          </w:p>
        </w:tc>
        <w:tc>
          <w:tcPr>
            <w:tcW w:w="1829" w:type="dxa"/>
          </w:tcPr>
          <w:p w14:paraId="59C33C77">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pPr>
          </w:p>
        </w:tc>
        <w:tc>
          <w:tcPr>
            <w:tcW w:w="1606" w:type="dxa"/>
          </w:tcPr>
          <w:p w14:paraId="49BEFAC6">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pPr>
          </w:p>
        </w:tc>
        <w:tc>
          <w:tcPr>
            <w:tcW w:w="915" w:type="dxa"/>
          </w:tcPr>
          <w:p w14:paraId="3D09A5FA">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pPr>
          </w:p>
        </w:tc>
      </w:tr>
      <w:tr w14:paraId="61CAFC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40496EB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0519B53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78AFB0B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31730B5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61460D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20FA63D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87FFD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6814C9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6494926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3002DD9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02FE2F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00290B0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6C4BC50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20FF8938">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hint="eastAsia" w:ascii="宋体" w:hAnsi="宋体" w:eastAsia="宋体" w:cs="宋体"/>
          <w:snapToGrid w:val="0"/>
          <w:color w:val="000000"/>
          <w:kern w:val="0"/>
          <w:sz w:val="20"/>
          <w:szCs w:val="20"/>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16374D0">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0"/>
              <w:szCs w:val="20"/>
            </w:rPr>
          </w:pPr>
          <w:r>
            <w:rPr>
              <w:rFonts w:hint="eastAsia" w:ascii="宋体" w:hAnsi="宋体" w:eastAsia="宋体" w:cs="宋体"/>
              <w:sz w:val="20"/>
              <w:szCs w:val="20"/>
            </w:rPr>
            <w:t>目录</w:t>
          </w:r>
        </w:p>
        <w:p w14:paraId="1810B8E4">
          <w:pPr>
            <w:pStyle w:val="16"/>
            <w:tabs>
              <w:tab w:val="right" w:leader="dot" w:pos="8306"/>
            </w:tabs>
          </w:pPr>
          <w:bookmarkStart w:id="20" w:name="_GoBack"/>
          <w:bookmarkEnd w:id="20"/>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TOC \o "1-3" \h \u </w:instrText>
          </w:r>
          <w:r>
            <w:rPr>
              <w:rFonts w:hint="eastAsia" w:ascii="宋体" w:hAnsi="宋体" w:eastAsia="宋体" w:cs="宋体"/>
              <w:sz w:val="20"/>
              <w:szCs w:val="20"/>
            </w:rPr>
            <w:fldChar w:fldCharType="separate"/>
          </w:r>
          <w:r>
            <w:rPr>
              <w:rFonts w:hint="eastAsia" w:ascii="宋体" w:hAnsi="宋体" w:eastAsia="宋体" w:cs="宋体"/>
              <w:szCs w:val="20"/>
            </w:rPr>
            <w:fldChar w:fldCharType="begin"/>
          </w:r>
          <w:r>
            <w:rPr>
              <w:rFonts w:hint="eastAsia" w:ascii="宋体" w:hAnsi="宋体" w:eastAsia="宋体" w:cs="宋体"/>
              <w:szCs w:val="20"/>
            </w:rPr>
            <w:instrText xml:space="preserve"> HYPERLINK \l _Toc16886 </w:instrText>
          </w:r>
          <w:r>
            <w:rPr>
              <w:rFonts w:hint="eastAsia" w:ascii="宋体" w:hAnsi="宋体" w:eastAsia="宋体" w:cs="宋体"/>
              <w:szCs w:val="20"/>
            </w:rPr>
            <w:fldChar w:fldCharType="separate"/>
          </w:r>
          <w:r>
            <w:rPr>
              <w:rFonts w:hint="eastAsia"/>
              <w:lang w:val="en-US" w:eastAsia="zh-CN"/>
            </w:rPr>
            <w:t>桐乡华数广电网络有限公司</w:t>
          </w:r>
          <w:r>
            <w:tab/>
          </w:r>
          <w:r>
            <w:fldChar w:fldCharType="begin"/>
          </w:r>
          <w:r>
            <w:instrText xml:space="preserve"> PAGEREF _Toc16886 \h </w:instrText>
          </w:r>
          <w:r>
            <w:fldChar w:fldCharType="separate"/>
          </w:r>
          <w:r>
            <w:t>1</w:t>
          </w:r>
          <w:r>
            <w:fldChar w:fldCharType="end"/>
          </w:r>
          <w:r>
            <w:rPr>
              <w:rFonts w:hint="eastAsia" w:ascii="宋体" w:hAnsi="宋体" w:eastAsia="宋体" w:cs="宋体"/>
              <w:szCs w:val="20"/>
            </w:rPr>
            <w:fldChar w:fldCharType="end"/>
          </w:r>
        </w:p>
        <w:p w14:paraId="460A39E5">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_Toc10817 </w:instrText>
          </w:r>
          <w:r>
            <w:rPr>
              <w:rFonts w:hint="eastAsia" w:ascii="宋体" w:hAnsi="宋体" w:eastAsia="宋体" w:cs="宋体"/>
              <w:szCs w:val="20"/>
            </w:rPr>
            <w:fldChar w:fldCharType="separate"/>
          </w:r>
          <w:r>
            <w:rPr>
              <w:rFonts w:hint="eastAsia"/>
              <w:lang w:val="en-US" w:eastAsia="zh-CN"/>
            </w:rPr>
            <w:t>运维服务质量改进管理制度</w:t>
          </w:r>
          <w:r>
            <w:tab/>
          </w:r>
          <w:r>
            <w:fldChar w:fldCharType="begin"/>
          </w:r>
          <w:r>
            <w:instrText xml:space="preserve"> PAGEREF _Toc10817 \h </w:instrText>
          </w:r>
          <w:r>
            <w:fldChar w:fldCharType="separate"/>
          </w:r>
          <w:r>
            <w:t>1</w:t>
          </w:r>
          <w:r>
            <w:fldChar w:fldCharType="end"/>
          </w:r>
          <w:r>
            <w:rPr>
              <w:rFonts w:hint="eastAsia" w:ascii="宋体" w:hAnsi="宋体" w:eastAsia="宋体" w:cs="宋体"/>
              <w:szCs w:val="20"/>
            </w:rPr>
            <w:fldChar w:fldCharType="end"/>
          </w:r>
        </w:p>
        <w:p w14:paraId="79DF4979">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_Toc9721 </w:instrText>
          </w:r>
          <w:r>
            <w:rPr>
              <w:rFonts w:hint="eastAsia" w:ascii="宋体" w:hAnsi="宋体" w:eastAsia="宋体" w:cs="宋体"/>
              <w:szCs w:val="20"/>
            </w:rPr>
            <w:fldChar w:fldCharType="separate"/>
          </w:r>
          <w:r>
            <w:rPr>
              <w:rFonts w:hint="default"/>
              <w:lang w:val="en-US" w:eastAsia="zh-CN"/>
            </w:rPr>
            <w:t>1. 总则</w:t>
          </w:r>
          <w:r>
            <w:tab/>
          </w:r>
          <w:r>
            <w:fldChar w:fldCharType="begin"/>
          </w:r>
          <w:r>
            <w:instrText xml:space="preserve"> PAGEREF _Toc9721 \h </w:instrText>
          </w:r>
          <w:r>
            <w:fldChar w:fldCharType="separate"/>
          </w:r>
          <w:r>
            <w:t>4</w:t>
          </w:r>
          <w:r>
            <w:fldChar w:fldCharType="end"/>
          </w:r>
          <w:r>
            <w:rPr>
              <w:rFonts w:hint="eastAsia" w:ascii="宋体" w:hAnsi="宋体" w:eastAsia="宋体" w:cs="宋体"/>
              <w:szCs w:val="20"/>
            </w:rPr>
            <w:fldChar w:fldCharType="end"/>
          </w:r>
        </w:p>
        <w:p w14:paraId="2CFFA32F">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_Toc9912 </w:instrText>
          </w:r>
          <w:r>
            <w:rPr>
              <w:rFonts w:hint="eastAsia" w:ascii="宋体" w:hAnsi="宋体" w:eastAsia="宋体" w:cs="宋体"/>
              <w:szCs w:val="20"/>
            </w:rPr>
            <w:fldChar w:fldCharType="separate"/>
          </w:r>
          <w:r>
            <w:rPr>
              <w:rFonts w:hint="default"/>
              <w:lang w:val="en-US" w:eastAsia="zh-CN"/>
            </w:rPr>
            <w:t>1.1. 目的</w:t>
          </w:r>
          <w:r>
            <w:tab/>
          </w:r>
          <w:r>
            <w:fldChar w:fldCharType="begin"/>
          </w:r>
          <w:r>
            <w:instrText xml:space="preserve"> PAGEREF _Toc9912 \h </w:instrText>
          </w:r>
          <w:r>
            <w:fldChar w:fldCharType="separate"/>
          </w:r>
          <w:r>
            <w:t>4</w:t>
          </w:r>
          <w:r>
            <w:fldChar w:fldCharType="end"/>
          </w:r>
          <w:r>
            <w:rPr>
              <w:rFonts w:hint="eastAsia" w:ascii="宋体" w:hAnsi="宋体" w:eastAsia="宋体" w:cs="宋体"/>
              <w:szCs w:val="20"/>
            </w:rPr>
            <w:fldChar w:fldCharType="end"/>
          </w:r>
        </w:p>
        <w:p w14:paraId="0A6FAD09">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_Toc21431 </w:instrText>
          </w:r>
          <w:r>
            <w:rPr>
              <w:rFonts w:hint="eastAsia" w:ascii="宋体" w:hAnsi="宋体" w:eastAsia="宋体" w:cs="宋体"/>
              <w:szCs w:val="20"/>
            </w:rPr>
            <w:fldChar w:fldCharType="separate"/>
          </w:r>
          <w:r>
            <w:rPr>
              <w:rFonts w:hint="default"/>
              <w:lang w:val="en-US" w:eastAsia="zh-CN"/>
            </w:rPr>
            <w:t>1.2. 适用范围</w:t>
          </w:r>
          <w:r>
            <w:tab/>
          </w:r>
          <w:r>
            <w:fldChar w:fldCharType="begin"/>
          </w:r>
          <w:r>
            <w:instrText xml:space="preserve"> PAGEREF _Toc21431 \h </w:instrText>
          </w:r>
          <w:r>
            <w:fldChar w:fldCharType="separate"/>
          </w:r>
          <w:r>
            <w:t>4</w:t>
          </w:r>
          <w:r>
            <w:fldChar w:fldCharType="end"/>
          </w:r>
          <w:r>
            <w:rPr>
              <w:rFonts w:hint="eastAsia" w:ascii="宋体" w:hAnsi="宋体" w:eastAsia="宋体" w:cs="宋体"/>
              <w:szCs w:val="20"/>
            </w:rPr>
            <w:fldChar w:fldCharType="end"/>
          </w:r>
        </w:p>
        <w:p w14:paraId="538BE6B9">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_Toc24113 </w:instrText>
          </w:r>
          <w:r>
            <w:rPr>
              <w:rFonts w:hint="eastAsia" w:ascii="宋体" w:hAnsi="宋体" w:eastAsia="宋体" w:cs="宋体"/>
              <w:szCs w:val="20"/>
            </w:rPr>
            <w:fldChar w:fldCharType="separate"/>
          </w:r>
          <w:r>
            <w:rPr>
              <w:rFonts w:hint="default"/>
              <w:lang w:val="en-US" w:eastAsia="zh-CN"/>
            </w:rPr>
            <w:t>1.3. 原则</w:t>
          </w:r>
          <w:r>
            <w:tab/>
          </w:r>
          <w:r>
            <w:fldChar w:fldCharType="begin"/>
          </w:r>
          <w:r>
            <w:instrText xml:space="preserve"> PAGEREF _Toc24113 \h </w:instrText>
          </w:r>
          <w:r>
            <w:fldChar w:fldCharType="separate"/>
          </w:r>
          <w:r>
            <w:t>4</w:t>
          </w:r>
          <w:r>
            <w:fldChar w:fldCharType="end"/>
          </w:r>
          <w:r>
            <w:rPr>
              <w:rFonts w:hint="eastAsia" w:ascii="宋体" w:hAnsi="宋体" w:eastAsia="宋体" w:cs="宋体"/>
              <w:szCs w:val="20"/>
            </w:rPr>
            <w:fldChar w:fldCharType="end"/>
          </w:r>
        </w:p>
        <w:p w14:paraId="2D03B4E6">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_Toc27859 </w:instrText>
          </w:r>
          <w:r>
            <w:rPr>
              <w:rFonts w:hint="eastAsia" w:ascii="宋体" w:hAnsi="宋体" w:eastAsia="宋体" w:cs="宋体"/>
              <w:szCs w:val="20"/>
            </w:rPr>
            <w:fldChar w:fldCharType="separate"/>
          </w:r>
          <w:r>
            <w:rPr>
              <w:rFonts w:hint="default"/>
              <w:lang w:val="en-US" w:eastAsia="zh-CN"/>
            </w:rPr>
            <w:t>2. 组织与职责</w:t>
          </w:r>
          <w:r>
            <w:tab/>
          </w:r>
          <w:r>
            <w:fldChar w:fldCharType="begin"/>
          </w:r>
          <w:r>
            <w:instrText xml:space="preserve"> PAGEREF _Toc27859 \h </w:instrText>
          </w:r>
          <w:r>
            <w:fldChar w:fldCharType="separate"/>
          </w:r>
          <w:r>
            <w:t>4</w:t>
          </w:r>
          <w:r>
            <w:fldChar w:fldCharType="end"/>
          </w:r>
          <w:r>
            <w:rPr>
              <w:rFonts w:hint="eastAsia" w:ascii="宋体" w:hAnsi="宋体" w:eastAsia="宋体" w:cs="宋体"/>
              <w:szCs w:val="20"/>
            </w:rPr>
            <w:fldChar w:fldCharType="end"/>
          </w:r>
        </w:p>
        <w:p w14:paraId="1EEF4E35">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_Toc20337 </w:instrText>
          </w:r>
          <w:r>
            <w:rPr>
              <w:rFonts w:hint="eastAsia" w:ascii="宋体" w:hAnsi="宋体" w:eastAsia="宋体" w:cs="宋体"/>
              <w:szCs w:val="20"/>
            </w:rPr>
            <w:fldChar w:fldCharType="separate"/>
          </w:r>
          <w:r>
            <w:rPr>
              <w:rFonts w:hint="default"/>
              <w:lang w:val="en-US" w:eastAsia="zh-CN"/>
            </w:rPr>
            <w:t>2.1. 质量管理部</w:t>
          </w:r>
          <w:r>
            <w:tab/>
          </w:r>
          <w:r>
            <w:fldChar w:fldCharType="begin"/>
          </w:r>
          <w:r>
            <w:instrText xml:space="preserve"> PAGEREF _Toc20337 \h </w:instrText>
          </w:r>
          <w:r>
            <w:fldChar w:fldCharType="separate"/>
          </w:r>
          <w:r>
            <w:t>4</w:t>
          </w:r>
          <w:r>
            <w:fldChar w:fldCharType="end"/>
          </w:r>
          <w:r>
            <w:rPr>
              <w:rFonts w:hint="eastAsia" w:ascii="宋体" w:hAnsi="宋体" w:eastAsia="宋体" w:cs="宋体"/>
              <w:szCs w:val="20"/>
            </w:rPr>
            <w:fldChar w:fldCharType="end"/>
          </w:r>
        </w:p>
        <w:p w14:paraId="77601BC7">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_Toc29175 </w:instrText>
          </w:r>
          <w:r>
            <w:rPr>
              <w:rFonts w:hint="eastAsia" w:ascii="宋体" w:hAnsi="宋体" w:eastAsia="宋体" w:cs="宋体"/>
              <w:szCs w:val="20"/>
            </w:rPr>
            <w:fldChar w:fldCharType="separate"/>
          </w:r>
          <w:r>
            <w:rPr>
              <w:rFonts w:hint="default"/>
              <w:lang w:val="en-US" w:eastAsia="zh-CN"/>
            </w:rPr>
            <w:t>2.2. 质量管理部经理</w:t>
          </w:r>
          <w:r>
            <w:tab/>
          </w:r>
          <w:r>
            <w:fldChar w:fldCharType="begin"/>
          </w:r>
          <w:r>
            <w:instrText xml:space="preserve"> PAGEREF _Toc29175 \h </w:instrText>
          </w:r>
          <w:r>
            <w:fldChar w:fldCharType="separate"/>
          </w:r>
          <w:r>
            <w:t>5</w:t>
          </w:r>
          <w:r>
            <w:fldChar w:fldCharType="end"/>
          </w:r>
          <w:r>
            <w:rPr>
              <w:rFonts w:hint="eastAsia" w:ascii="宋体" w:hAnsi="宋体" w:eastAsia="宋体" w:cs="宋体"/>
              <w:szCs w:val="20"/>
            </w:rPr>
            <w:fldChar w:fldCharType="end"/>
          </w:r>
        </w:p>
        <w:p w14:paraId="41808867">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_Toc2417 </w:instrText>
          </w:r>
          <w:r>
            <w:rPr>
              <w:rFonts w:hint="eastAsia" w:ascii="宋体" w:hAnsi="宋体" w:eastAsia="宋体" w:cs="宋体"/>
              <w:szCs w:val="20"/>
            </w:rPr>
            <w:fldChar w:fldCharType="separate"/>
          </w:r>
          <w:r>
            <w:rPr>
              <w:rFonts w:hint="default"/>
              <w:lang w:val="en-US" w:eastAsia="zh-CN"/>
            </w:rPr>
            <w:t>2.3. 质量管理专员</w:t>
          </w:r>
          <w:r>
            <w:tab/>
          </w:r>
          <w:r>
            <w:fldChar w:fldCharType="begin"/>
          </w:r>
          <w:r>
            <w:instrText xml:space="preserve"> PAGEREF _Toc2417 \h </w:instrText>
          </w:r>
          <w:r>
            <w:fldChar w:fldCharType="separate"/>
          </w:r>
          <w:r>
            <w:t>5</w:t>
          </w:r>
          <w:r>
            <w:fldChar w:fldCharType="end"/>
          </w:r>
          <w:r>
            <w:rPr>
              <w:rFonts w:hint="eastAsia" w:ascii="宋体" w:hAnsi="宋体" w:eastAsia="宋体" w:cs="宋体"/>
              <w:szCs w:val="20"/>
            </w:rPr>
            <w:fldChar w:fldCharType="end"/>
          </w:r>
        </w:p>
        <w:p w14:paraId="790D6E49">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_Toc27476 </w:instrText>
          </w:r>
          <w:r>
            <w:rPr>
              <w:rFonts w:hint="eastAsia" w:ascii="宋体" w:hAnsi="宋体" w:eastAsia="宋体" w:cs="宋体"/>
              <w:szCs w:val="20"/>
            </w:rPr>
            <w:fldChar w:fldCharType="separate"/>
          </w:r>
          <w:r>
            <w:rPr>
              <w:rFonts w:hint="default"/>
              <w:lang w:val="en-US" w:eastAsia="zh-CN"/>
            </w:rPr>
            <w:t>2.4. 各业务与职能部门</w:t>
          </w:r>
          <w:r>
            <w:tab/>
          </w:r>
          <w:r>
            <w:fldChar w:fldCharType="begin"/>
          </w:r>
          <w:r>
            <w:instrText xml:space="preserve"> PAGEREF _Toc27476 \h </w:instrText>
          </w:r>
          <w:r>
            <w:fldChar w:fldCharType="separate"/>
          </w:r>
          <w:r>
            <w:t>5</w:t>
          </w:r>
          <w:r>
            <w:fldChar w:fldCharType="end"/>
          </w:r>
          <w:r>
            <w:rPr>
              <w:rFonts w:hint="eastAsia" w:ascii="宋体" w:hAnsi="宋体" w:eastAsia="宋体" w:cs="宋体"/>
              <w:szCs w:val="20"/>
            </w:rPr>
            <w:fldChar w:fldCharType="end"/>
          </w:r>
        </w:p>
        <w:p w14:paraId="1EBFC311">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_Toc7274 </w:instrText>
          </w:r>
          <w:r>
            <w:rPr>
              <w:rFonts w:hint="eastAsia" w:ascii="宋体" w:hAnsi="宋体" w:eastAsia="宋体" w:cs="宋体"/>
              <w:szCs w:val="20"/>
            </w:rPr>
            <w:fldChar w:fldCharType="separate"/>
          </w:r>
          <w:r>
            <w:rPr>
              <w:rFonts w:hint="default"/>
              <w:lang w:val="en-US" w:eastAsia="zh-CN"/>
            </w:rPr>
            <w:t>3. 改进机会的来源与识别</w:t>
          </w:r>
          <w:r>
            <w:tab/>
          </w:r>
          <w:r>
            <w:fldChar w:fldCharType="begin"/>
          </w:r>
          <w:r>
            <w:instrText xml:space="preserve"> PAGEREF _Toc7274 \h </w:instrText>
          </w:r>
          <w:r>
            <w:fldChar w:fldCharType="separate"/>
          </w:r>
          <w:r>
            <w:t>5</w:t>
          </w:r>
          <w:r>
            <w:fldChar w:fldCharType="end"/>
          </w:r>
          <w:r>
            <w:rPr>
              <w:rFonts w:hint="eastAsia" w:ascii="宋体" w:hAnsi="宋体" w:eastAsia="宋体" w:cs="宋体"/>
              <w:szCs w:val="20"/>
            </w:rPr>
            <w:fldChar w:fldCharType="end"/>
          </w:r>
        </w:p>
        <w:p w14:paraId="6751FF0F">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_Toc21978 </w:instrText>
          </w:r>
          <w:r>
            <w:rPr>
              <w:rFonts w:hint="eastAsia" w:ascii="宋体" w:hAnsi="宋体" w:eastAsia="宋体" w:cs="宋体"/>
              <w:szCs w:val="20"/>
            </w:rPr>
            <w:fldChar w:fldCharType="separate"/>
          </w:r>
          <w:r>
            <w:rPr>
              <w:rFonts w:hint="default"/>
              <w:lang w:val="en-US" w:eastAsia="zh-CN"/>
            </w:rPr>
            <w:t>4. 质量改进管理流程</w:t>
          </w:r>
          <w:r>
            <w:tab/>
          </w:r>
          <w:r>
            <w:fldChar w:fldCharType="begin"/>
          </w:r>
          <w:r>
            <w:instrText xml:space="preserve"> PAGEREF _Toc21978 \h </w:instrText>
          </w:r>
          <w:r>
            <w:fldChar w:fldCharType="separate"/>
          </w:r>
          <w:r>
            <w:t>5</w:t>
          </w:r>
          <w:r>
            <w:fldChar w:fldCharType="end"/>
          </w:r>
          <w:r>
            <w:rPr>
              <w:rFonts w:hint="eastAsia" w:ascii="宋体" w:hAnsi="宋体" w:eastAsia="宋体" w:cs="宋体"/>
              <w:szCs w:val="20"/>
            </w:rPr>
            <w:fldChar w:fldCharType="end"/>
          </w:r>
        </w:p>
        <w:p w14:paraId="4291A662">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_Toc4259 </w:instrText>
          </w:r>
          <w:r>
            <w:rPr>
              <w:rFonts w:hint="eastAsia" w:ascii="宋体" w:hAnsi="宋体" w:eastAsia="宋体" w:cs="宋体"/>
              <w:szCs w:val="20"/>
            </w:rPr>
            <w:fldChar w:fldCharType="separate"/>
          </w:r>
          <w:r>
            <w:rPr>
              <w:rFonts w:hint="default"/>
              <w:lang w:val="en-US" w:eastAsia="zh-CN"/>
            </w:rPr>
            <w:t>4.1. 改进提议与立项</w:t>
          </w:r>
          <w:r>
            <w:tab/>
          </w:r>
          <w:r>
            <w:fldChar w:fldCharType="begin"/>
          </w:r>
          <w:r>
            <w:instrText xml:space="preserve"> PAGEREF _Toc4259 \h </w:instrText>
          </w:r>
          <w:r>
            <w:fldChar w:fldCharType="separate"/>
          </w:r>
          <w:r>
            <w:t>6</w:t>
          </w:r>
          <w:r>
            <w:fldChar w:fldCharType="end"/>
          </w:r>
          <w:r>
            <w:rPr>
              <w:rFonts w:hint="eastAsia" w:ascii="宋体" w:hAnsi="宋体" w:eastAsia="宋体" w:cs="宋体"/>
              <w:szCs w:val="20"/>
            </w:rPr>
            <w:fldChar w:fldCharType="end"/>
          </w:r>
        </w:p>
        <w:p w14:paraId="37E6781E">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_Toc871 </w:instrText>
          </w:r>
          <w:r>
            <w:rPr>
              <w:rFonts w:hint="eastAsia" w:ascii="宋体" w:hAnsi="宋体" w:eastAsia="宋体" w:cs="宋体"/>
              <w:szCs w:val="20"/>
            </w:rPr>
            <w:fldChar w:fldCharType="separate"/>
          </w:r>
          <w:r>
            <w:rPr>
              <w:rFonts w:hint="default"/>
              <w:lang w:val="en-US" w:eastAsia="zh-CN"/>
            </w:rPr>
            <w:t>4.2. 原因分析与计划制定</w:t>
          </w:r>
          <w:r>
            <w:tab/>
          </w:r>
          <w:r>
            <w:fldChar w:fldCharType="begin"/>
          </w:r>
          <w:r>
            <w:instrText xml:space="preserve"> PAGEREF _Toc871 \h </w:instrText>
          </w:r>
          <w:r>
            <w:fldChar w:fldCharType="separate"/>
          </w:r>
          <w:r>
            <w:t>6</w:t>
          </w:r>
          <w:r>
            <w:fldChar w:fldCharType="end"/>
          </w:r>
          <w:r>
            <w:rPr>
              <w:rFonts w:hint="eastAsia" w:ascii="宋体" w:hAnsi="宋体" w:eastAsia="宋体" w:cs="宋体"/>
              <w:szCs w:val="20"/>
            </w:rPr>
            <w:fldChar w:fldCharType="end"/>
          </w:r>
        </w:p>
        <w:p w14:paraId="4FFD96D0">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_Toc30832 </w:instrText>
          </w:r>
          <w:r>
            <w:rPr>
              <w:rFonts w:hint="eastAsia" w:ascii="宋体" w:hAnsi="宋体" w:eastAsia="宋体" w:cs="宋体"/>
              <w:szCs w:val="20"/>
            </w:rPr>
            <w:fldChar w:fldCharType="separate"/>
          </w:r>
          <w:r>
            <w:rPr>
              <w:rFonts w:hint="default"/>
              <w:lang w:val="en-US" w:eastAsia="zh-CN"/>
            </w:rPr>
            <w:t>4.3. 改进措施实施</w:t>
          </w:r>
          <w:r>
            <w:tab/>
          </w:r>
          <w:r>
            <w:fldChar w:fldCharType="begin"/>
          </w:r>
          <w:r>
            <w:instrText xml:space="preserve"> PAGEREF _Toc30832 \h </w:instrText>
          </w:r>
          <w:r>
            <w:fldChar w:fldCharType="separate"/>
          </w:r>
          <w:r>
            <w:t>6</w:t>
          </w:r>
          <w:r>
            <w:fldChar w:fldCharType="end"/>
          </w:r>
          <w:r>
            <w:rPr>
              <w:rFonts w:hint="eastAsia" w:ascii="宋体" w:hAnsi="宋体" w:eastAsia="宋体" w:cs="宋体"/>
              <w:szCs w:val="20"/>
            </w:rPr>
            <w:fldChar w:fldCharType="end"/>
          </w:r>
        </w:p>
        <w:p w14:paraId="06399240">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_Toc19779 </w:instrText>
          </w:r>
          <w:r>
            <w:rPr>
              <w:rFonts w:hint="eastAsia" w:ascii="宋体" w:hAnsi="宋体" w:eastAsia="宋体" w:cs="宋体"/>
              <w:szCs w:val="20"/>
            </w:rPr>
            <w:fldChar w:fldCharType="separate"/>
          </w:r>
          <w:r>
            <w:rPr>
              <w:rFonts w:hint="default"/>
              <w:lang w:val="en-US" w:eastAsia="zh-CN"/>
            </w:rPr>
            <w:t>4.4. 效果验证与评估</w:t>
          </w:r>
          <w:r>
            <w:tab/>
          </w:r>
          <w:r>
            <w:fldChar w:fldCharType="begin"/>
          </w:r>
          <w:r>
            <w:instrText xml:space="preserve"> PAGEREF _Toc19779 \h </w:instrText>
          </w:r>
          <w:r>
            <w:fldChar w:fldCharType="separate"/>
          </w:r>
          <w:r>
            <w:t>6</w:t>
          </w:r>
          <w:r>
            <w:fldChar w:fldCharType="end"/>
          </w:r>
          <w:r>
            <w:rPr>
              <w:rFonts w:hint="eastAsia" w:ascii="宋体" w:hAnsi="宋体" w:eastAsia="宋体" w:cs="宋体"/>
              <w:szCs w:val="20"/>
            </w:rPr>
            <w:fldChar w:fldCharType="end"/>
          </w:r>
        </w:p>
        <w:p w14:paraId="2378EA94">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_Toc7985 </w:instrText>
          </w:r>
          <w:r>
            <w:rPr>
              <w:rFonts w:hint="eastAsia" w:ascii="宋体" w:hAnsi="宋体" w:eastAsia="宋体" w:cs="宋体"/>
              <w:szCs w:val="20"/>
            </w:rPr>
            <w:fldChar w:fldCharType="separate"/>
          </w:r>
          <w:r>
            <w:rPr>
              <w:rFonts w:hint="default"/>
              <w:lang w:val="en-US" w:eastAsia="zh-CN"/>
            </w:rPr>
            <w:t>4.5. 知识固化与推广</w:t>
          </w:r>
          <w:r>
            <w:tab/>
          </w:r>
          <w:r>
            <w:fldChar w:fldCharType="begin"/>
          </w:r>
          <w:r>
            <w:instrText xml:space="preserve"> PAGEREF _Toc7985 \h </w:instrText>
          </w:r>
          <w:r>
            <w:fldChar w:fldCharType="separate"/>
          </w:r>
          <w:r>
            <w:t>7</w:t>
          </w:r>
          <w:r>
            <w:fldChar w:fldCharType="end"/>
          </w:r>
          <w:r>
            <w:rPr>
              <w:rFonts w:hint="eastAsia" w:ascii="宋体" w:hAnsi="宋体" w:eastAsia="宋体" w:cs="宋体"/>
              <w:szCs w:val="20"/>
            </w:rPr>
            <w:fldChar w:fldCharType="end"/>
          </w:r>
        </w:p>
        <w:p w14:paraId="7F4136F2">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_Toc13215 </w:instrText>
          </w:r>
          <w:r>
            <w:rPr>
              <w:rFonts w:hint="eastAsia" w:ascii="宋体" w:hAnsi="宋体" w:eastAsia="宋体" w:cs="宋体"/>
              <w:szCs w:val="20"/>
            </w:rPr>
            <w:fldChar w:fldCharType="separate"/>
          </w:r>
          <w:r>
            <w:rPr>
              <w:rFonts w:hint="default"/>
              <w:lang w:val="en-US" w:eastAsia="zh-CN"/>
            </w:rPr>
            <w:t>5. 与其他管理流程的衔接</w:t>
          </w:r>
          <w:r>
            <w:tab/>
          </w:r>
          <w:r>
            <w:fldChar w:fldCharType="begin"/>
          </w:r>
          <w:r>
            <w:instrText xml:space="preserve"> PAGEREF _Toc13215 \h </w:instrText>
          </w:r>
          <w:r>
            <w:fldChar w:fldCharType="separate"/>
          </w:r>
          <w:r>
            <w:t>7</w:t>
          </w:r>
          <w:r>
            <w:fldChar w:fldCharType="end"/>
          </w:r>
          <w:r>
            <w:rPr>
              <w:rFonts w:hint="eastAsia" w:ascii="宋体" w:hAnsi="宋体" w:eastAsia="宋体" w:cs="宋体"/>
              <w:szCs w:val="20"/>
            </w:rPr>
            <w:fldChar w:fldCharType="end"/>
          </w:r>
        </w:p>
        <w:p w14:paraId="60E8291E">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_Toc9567 </w:instrText>
          </w:r>
          <w:r>
            <w:rPr>
              <w:rFonts w:hint="eastAsia" w:ascii="宋体" w:hAnsi="宋体" w:eastAsia="宋体" w:cs="宋体"/>
              <w:szCs w:val="20"/>
            </w:rPr>
            <w:fldChar w:fldCharType="separate"/>
          </w:r>
          <w:r>
            <w:rPr>
              <w:rFonts w:hint="default"/>
              <w:lang w:val="en-US" w:eastAsia="zh-CN"/>
            </w:rPr>
            <w:t>6. 附则</w:t>
          </w:r>
          <w:r>
            <w:tab/>
          </w:r>
          <w:r>
            <w:fldChar w:fldCharType="begin"/>
          </w:r>
          <w:r>
            <w:instrText xml:space="preserve"> PAGEREF _Toc9567 \h </w:instrText>
          </w:r>
          <w:r>
            <w:fldChar w:fldCharType="separate"/>
          </w:r>
          <w:r>
            <w:t>7</w:t>
          </w:r>
          <w:r>
            <w:fldChar w:fldCharType="end"/>
          </w:r>
          <w:r>
            <w:rPr>
              <w:rFonts w:hint="eastAsia" w:ascii="宋体" w:hAnsi="宋体" w:eastAsia="宋体" w:cs="宋体"/>
              <w:szCs w:val="20"/>
            </w:rPr>
            <w:fldChar w:fldCharType="end"/>
          </w:r>
        </w:p>
        <w:p w14:paraId="4DF2FFB0">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0"/>
            </w:rPr>
            <w:fldChar w:fldCharType="end"/>
          </w:r>
        </w:p>
      </w:sdtContent>
    </w:sdt>
    <w:p w14:paraId="107B3D6F">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E359993">
      <w:pPr>
        <w:pStyle w:val="28"/>
        <w:bidi w:val="0"/>
        <w:rPr>
          <w:rFonts w:hint="default"/>
          <w:lang w:val="en-US" w:eastAsia="zh-CN"/>
        </w:rPr>
      </w:pPr>
      <w:bookmarkStart w:id="2" w:name="_Toc9721"/>
      <w:r>
        <w:rPr>
          <w:rFonts w:hint="default"/>
          <w:lang w:val="en-US" w:eastAsia="zh-CN"/>
        </w:rPr>
        <w:t>总则</w:t>
      </w:r>
      <w:bookmarkEnd w:id="2"/>
    </w:p>
    <w:p w14:paraId="26446903">
      <w:pPr>
        <w:pStyle w:val="30"/>
        <w:bidi w:val="0"/>
        <w:rPr>
          <w:rFonts w:hint="default"/>
          <w:lang w:val="en-US" w:eastAsia="zh-CN"/>
        </w:rPr>
      </w:pPr>
      <w:bookmarkStart w:id="3" w:name="_Toc9912"/>
      <w:r>
        <w:rPr>
          <w:rFonts w:hint="default"/>
          <w:lang w:val="en-US" w:eastAsia="zh-CN"/>
        </w:rPr>
        <w:t>目的</w:t>
      </w:r>
      <w:bookmarkEnd w:id="3"/>
    </w:p>
    <w:p w14:paraId="6A483EAA">
      <w:pPr>
        <w:pStyle w:val="29"/>
        <w:rPr>
          <w:rFonts w:hint="default"/>
          <w:lang w:val="en-US" w:eastAsia="zh-CN"/>
        </w:rPr>
      </w:pPr>
      <w:r>
        <w:rPr>
          <w:rFonts w:hint="default"/>
          <w:lang w:val="en-US" w:eastAsia="zh-CN"/>
        </w:rPr>
        <w:t>为建立系统、规范的质量改进管理机制，确保公司运维服务在质量策划、实施、检查、改进（PDCA）的循环中持续提升，有效应对内外部审核、客户反馈及日常运营中发现的问题，特制定本制度。</w:t>
      </w:r>
    </w:p>
    <w:p w14:paraId="1849FADD">
      <w:pPr>
        <w:pStyle w:val="30"/>
        <w:bidi w:val="0"/>
        <w:rPr>
          <w:rFonts w:hint="default"/>
          <w:lang w:val="en-US" w:eastAsia="zh-CN"/>
        </w:rPr>
      </w:pPr>
      <w:bookmarkStart w:id="4" w:name="_Toc21431"/>
      <w:r>
        <w:rPr>
          <w:rFonts w:hint="default"/>
          <w:lang w:val="en-US" w:eastAsia="zh-CN"/>
        </w:rPr>
        <w:t>适用范围</w:t>
      </w:r>
      <w:bookmarkEnd w:id="4"/>
    </w:p>
    <w:p w14:paraId="2A9F35B9">
      <w:pPr>
        <w:pStyle w:val="29"/>
        <w:rPr>
          <w:rFonts w:hint="default"/>
          <w:lang w:val="en-US" w:eastAsia="zh-CN"/>
        </w:rPr>
      </w:pPr>
      <w:r>
        <w:rPr>
          <w:rFonts w:hint="default"/>
          <w:lang w:val="en-US" w:eastAsia="zh-CN"/>
        </w:rPr>
        <w:t>本制度适用于公司范围内所有与运维服务质量相关的改进活动的识别、评审、实施、验证和知识固化过程。涉及部门包括运维部、研发部、人力资源部、质量管理部及应急管理部。</w:t>
      </w:r>
    </w:p>
    <w:p w14:paraId="1D4A166F">
      <w:pPr>
        <w:pStyle w:val="30"/>
        <w:bidi w:val="0"/>
        <w:rPr>
          <w:rFonts w:hint="default"/>
          <w:lang w:val="en-US" w:eastAsia="zh-CN"/>
        </w:rPr>
      </w:pPr>
      <w:bookmarkStart w:id="5" w:name="_Toc24113"/>
      <w:r>
        <w:rPr>
          <w:rFonts w:hint="default"/>
          <w:lang w:val="en-US" w:eastAsia="zh-CN"/>
        </w:rPr>
        <w:t>原则</w:t>
      </w:r>
      <w:bookmarkEnd w:id="5"/>
    </w:p>
    <w:p w14:paraId="7A608972">
      <w:pPr>
        <w:pStyle w:val="29"/>
        <w:rPr>
          <w:rFonts w:hint="default"/>
          <w:lang w:val="en-US" w:eastAsia="zh-CN"/>
        </w:rPr>
      </w:pPr>
      <w:r>
        <w:rPr>
          <w:rFonts w:hint="default"/>
          <w:lang w:val="en-US" w:eastAsia="zh-CN"/>
        </w:rPr>
        <w:t>预防为主，持续改进： 强调主动识别改进机会，而不仅限于问题纠正，致力于服务管理与交付过程的持续优化。</w:t>
      </w:r>
    </w:p>
    <w:p w14:paraId="443ACEDB">
      <w:pPr>
        <w:pStyle w:val="29"/>
        <w:rPr>
          <w:rFonts w:hint="default"/>
          <w:lang w:val="en-US" w:eastAsia="zh-CN"/>
        </w:rPr>
      </w:pPr>
      <w:r>
        <w:rPr>
          <w:rFonts w:hint="default"/>
          <w:lang w:val="en-US" w:eastAsia="zh-CN"/>
        </w:rPr>
        <w:t>数据驱动，科学决策： 改进活动应基于客观的数据分析和事实证据，确保改进方向正确、措施有效。</w:t>
      </w:r>
    </w:p>
    <w:p w14:paraId="3EDA076F">
      <w:pPr>
        <w:pStyle w:val="29"/>
        <w:rPr>
          <w:rFonts w:hint="default"/>
          <w:lang w:val="en-US" w:eastAsia="zh-CN"/>
        </w:rPr>
      </w:pPr>
      <w:r>
        <w:rPr>
          <w:rFonts w:hint="default"/>
          <w:lang w:val="en-US" w:eastAsia="zh-CN"/>
        </w:rPr>
        <w:t>系统管理，闭环运行： 改进活动需遵循从识别、分析、计划、实施到验证和标准化的完整闭环流程。</w:t>
      </w:r>
    </w:p>
    <w:p w14:paraId="47479D05">
      <w:pPr>
        <w:pStyle w:val="29"/>
        <w:rPr>
          <w:rFonts w:hint="default"/>
          <w:lang w:val="en-US" w:eastAsia="zh-CN"/>
        </w:rPr>
      </w:pPr>
      <w:r>
        <w:rPr>
          <w:rFonts w:hint="default"/>
          <w:lang w:val="en-US" w:eastAsia="zh-CN"/>
        </w:rPr>
        <w:t>全员参与，跨部门协作： 鼓励全体员工及相关方提出改进建议，重大改进项目需明确跨部门职责与协作机制。</w:t>
      </w:r>
    </w:p>
    <w:p w14:paraId="1E0C8EE0">
      <w:pPr>
        <w:pStyle w:val="28"/>
        <w:bidi w:val="0"/>
        <w:rPr>
          <w:rFonts w:hint="default"/>
          <w:lang w:val="en-US" w:eastAsia="zh-CN"/>
        </w:rPr>
      </w:pPr>
      <w:bookmarkStart w:id="6" w:name="_Toc27859"/>
      <w:r>
        <w:rPr>
          <w:rFonts w:hint="default"/>
          <w:lang w:val="en-US" w:eastAsia="zh-CN"/>
        </w:rPr>
        <w:t>组织与职责</w:t>
      </w:r>
      <w:bookmarkEnd w:id="6"/>
    </w:p>
    <w:p w14:paraId="60F9DA95">
      <w:pPr>
        <w:pStyle w:val="30"/>
        <w:bidi w:val="0"/>
        <w:rPr>
          <w:rFonts w:hint="default"/>
          <w:lang w:val="en-US" w:eastAsia="zh-CN"/>
        </w:rPr>
      </w:pPr>
      <w:bookmarkStart w:id="7" w:name="_Toc20337"/>
      <w:r>
        <w:rPr>
          <w:rFonts w:hint="default"/>
          <w:lang w:val="en-US" w:eastAsia="zh-CN"/>
        </w:rPr>
        <w:t>质量管理部</w:t>
      </w:r>
      <w:bookmarkEnd w:id="7"/>
    </w:p>
    <w:p w14:paraId="46B1F1D9">
      <w:pPr>
        <w:pStyle w:val="29"/>
        <w:rPr>
          <w:rFonts w:hint="default"/>
          <w:lang w:val="en-US" w:eastAsia="zh-CN"/>
        </w:rPr>
      </w:pPr>
      <w:r>
        <w:rPr>
          <w:rFonts w:hint="default"/>
          <w:lang w:val="en-US" w:eastAsia="zh-CN"/>
        </w:rPr>
        <w:t>作为质量改进管理的归口部门，负责本制度的维护与解释。</w:t>
      </w:r>
    </w:p>
    <w:p w14:paraId="723B8365">
      <w:pPr>
        <w:pStyle w:val="29"/>
        <w:rPr>
          <w:rFonts w:hint="default"/>
          <w:lang w:val="en-US" w:eastAsia="zh-CN"/>
        </w:rPr>
      </w:pPr>
      <w:r>
        <w:rPr>
          <w:rFonts w:hint="default"/>
          <w:lang w:val="en-US" w:eastAsia="zh-CN"/>
        </w:rPr>
        <w:t>负责组织公司级改进机会的收集、评审与立项。</w:t>
      </w:r>
    </w:p>
    <w:p w14:paraId="39919147">
      <w:pPr>
        <w:pStyle w:val="29"/>
        <w:rPr>
          <w:rFonts w:hint="default"/>
          <w:lang w:val="en-US" w:eastAsia="zh-CN"/>
        </w:rPr>
      </w:pPr>
      <w:r>
        <w:rPr>
          <w:rFonts w:hint="default"/>
          <w:lang w:val="en-US" w:eastAsia="zh-CN"/>
        </w:rPr>
        <w:t>负责监控、协调和验证重大改进措施的实施效果。</w:t>
      </w:r>
    </w:p>
    <w:p w14:paraId="5B09F48E">
      <w:pPr>
        <w:pStyle w:val="29"/>
        <w:rPr>
          <w:rFonts w:hint="default"/>
          <w:lang w:val="en-US" w:eastAsia="zh-CN"/>
        </w:rPr>
      </w:pPr>
      <w:r>
        <w:rPr>
          <w:rFonts w:hint="default"/>
          <w:lang w:val="en-US" w:eastAsia="zh-CN"/>
        </w:rPr>
        <w:t>负责组织改进成果的知识转移与经验分享。</w:t>
      </w:r>
    </w:p>
    <w:p w14:paraId="7C2C246A">
      <w:pPr>
        <w:pStyle w:val="30"/>
        <w:bidi w:val="0"/>
        <w:rPr>
          <w:rFonts w:hint="default"/>
          <w:lang w:val="en-US" w:eastAsia="zh-CN"/>
        </w:rPr>
      </w:pPr>
      <w:bookmarkStart w:id="8" w:name="_Toc29175"/>
      <w:r>
        <w:rPr>
          <w:rFonts w:hint="default"/>
          <w:lang w:val="en-US" w:eastAsia="zh-CN"/>
        </w:rPr>
        <w:t>质量管理部经理</w:t>
      </w:r>
      <w:bookmarkEnd w:id="8"/>
    </w:p>
    <w:p w14:paraId="6C6291FF">
      <w:pPr>
        <w:pStyle w:val="29"/>
        <w:rPr>
          <w:rFonts w:hint="default"/>
          <w:lang w:val="en-US" w:eastAsia="zh-CN"/>
        </w:rPr>
      </w:pPr>
      <w:r>
        <w:rPr>
          <w:rFonts w:hint="default"/>
          <w:lang w:val="en-US" w:eastAsia="zh-CN"/>
        </w:rPr>
        <w:t>负责审批《质量改进项目立项申请》及《改进实施计划》。</w:t>
      </w:r>
    </w:p>
    <w:p w14:paraId="67DD379D">
      <w:pPr>
        <w:pStyle w:val="29"/>
        <w:rPr>
          <w:rFonts w:hint="default"/>
          <w:lang w:val="en-US" w:eastAsia="zh-CN"/>
        </w:rPr>
      </w:pPr>
      <w:r>
        <w:rPr>
          <w:rFonts w:hint="default"/>
          <w:lang w:val="en-US" w:eastAsia="zh-CN"/>
        </w:rPr>
        <w:t>负责组织改进项目的阶段性评审与结项验收。</w:t>
      </w:r>
    </w:p>
    <w:p w14:paraId="1E701B5C">
      <w:pPr>
        <w:pStyle w:val="29"/>
        <w:rPr>
          <w:rFonts w:hint="default"/>
          <w:lang w:val="en-US" w:eastAsia="zh-CN"/>
        </w:rPr>
      </w:pPr>
      <w:r>
        <w:rPr>
          <w:rFonts w:hint="default"/>
          <w:lang w:val="en-US" w:eastAsia="zh-CN"/>
        </w:rPr>
        <w:t>负责向公司管理层报告质量改进的整体状况与成效。</w:t>
      </w:r>
    </w:p>
    <w:p w14:paraId="53EA9190">
      <w:pPr>
        <w:pStyle w:val="30"/>
        <w:bidi w:val="0"/>
        <w:rPr>
          <w:rFonts w:hint="default"/>
          <w:lang w:val="en-US" w:eastAsia="zh-CN"/>
        </w:rPr>
      </w:pPr>
      <w:bookmarkStart w:id="9" w:name="_Toc2417"/>
      <w:r>
        <w:rPr>
          <w:rFonts w:hint="default"/>
          <w:lang w:val="en-US" w:eastAsia="zh-CN"/>
        </w:rPr>
        <w:t>质量管理专员</w:t>
      </w:r>
      <w:bookmarkEnd w:id="9"/>
    </w:p>
    <w:p w14:paraId="458C7A4F">
      <w:pPr>
        <w:pStyle w:val="29"/>
        <w:rPr>
          <w:rFonts w:hint="default"/>
          <w:lang w:val="en-US" w:eastAsia="zh-CN"/>
        </w:rPr>
      </w:pPr>
      <w:r>
        <w:rPr>
          <w:rFonts w:hint="default"/>
          <w:lang w:val="en-US" w:eastAsia="zh-CN"/>
        </w:rPr>
        <w:t>负责日常改进建议的收集、初步筛选与登记。</w:t>
      </w:r>
    </w:p>
    <w:p w14:paraId="76DFA912">
      <w:pPr>
        <w:pStyle w:val="29"/>
        <w:rPr>
          <w:rFonts w:hint="default"/>
          <w:lang w:val="en-US" w:eastAsia="zh-CN"/>
        </w:rPr>
      </w:pPr>
      <w:r>
        <w:rPr>
          <w:rFonts w:hint="default"/>
          <w:lang w:val="en-US" w:eastAsia="zh-CN"/>
        </w:rPr>
        <w:t>负责跟踪已立项改进项目的实施进度，并协助解决跨部门协调问题。</w:t>
      </w:r>
    </w:p>
    <w:p w14:paraId="460BBD73">
      <w:pPr>
        <w:pStyle w:val="29"/>
        <w:rPr>
          <w:rFonts w:hint="default"/>
          <w:lang w:val="en-US" w:eastAsia="zh-CN"/>
        </w:rPr>
      </w:pPr>
      <w:r>
        <w:rPr>
          <w:rFonts w:hint="default"/>
          <w:lang w:val="en-US" w:eastAsia="zh-CN"/>
        </w:rPr>
        <w:t>负责组织改进项目结项后的效果验证，并归档相关记录。</w:t>
      </w:r>
    </w:p>
    <w:p w14:paraId="20231678">
      <w:pPr>
        <w:pStyle w:val="30"/>
        <w:bidi w:val="0"/>
        <w:rPr>
          <w:rFonts w:hint="default"/>
          <w:lang w:val="en-US" w:eastAsia="zh-CN"/>
        </w:rPr>
      </w:pPr>
      <w:bookmarkStart w:id="10" w:name="_Toc27476"/>
      <w:r>
        <w:rPr>
          <w:rFonts w:hint="default"/>
          <w:lang w:val="en-US" w:eastAsia="zh-CN"/>
        </w:rPr>
        <w:t>各业务与职能部门</w:t>
      </w:r>
      <w:bookmarkEnd w:id="10"/>
    </w:p>
    <w:p w14:paraId="5F3FDBD6">
      <w:pPr>
        <w:pStyle w:val="29"/>
        <w:rPr>
          <w:rFonts w:hint="default"/>
          <w:lang w:val="en-US" w:eastAsia="zh-CN"/>
        </w:rPr>
      </w:pPr>
      <w:r>
        <w:rPr>
          <w:rFonts w:hint="default"/>
          <w:lang w:val="en-US" w:eastAsia="zh-CN"/>
        </w:rPr>
        <w:t>负责本部门职责范围内改进机会的识别与提议。</w:t>
      </w:r>
    </w:p>
    <w:p w14:paraId="08321030">
      <w:pPr>
        <w:pStyle w:val="29"/>
        <w:rPr>
          <w:rFonts w:hint="default"/>
          <w:lang w:val="en-US" w:eastAsia="zh-CN"/>
        </w:rPr>
      </w:pPr>
      <w:r>
        <w:rPr>
          <w:rFonts w:hint="default"/>
          <w:lang w:val="en-US" w:eastAsia="zh-CN"/>
        </w:rPr>
        <w:t>作为改进措施的责任部门，负责制定具体的实施计划并执行。</w:t>
      </w:r>
    </w:p>
    <w:p w14:paraId="2C6E83CE">
      <w:pPr>
        <w:pStyle w:val="29"/>
        <w:rPr>
          <w:rFonts w:hint="default"/>
          <w:lang w:val="en-US" w:eastAsia="zh-CN"/>
        </w:rPr>
      </w:pPr>
      <w:r>
        <w:rPr>
          <w:rFonts w:hint="default"/>
          <w:lang w:val="en-US" w:eastAsia="zh-CN"/>
        </w:rPr>
        <w:t>负责向质量管理部反馈改进措施的实施进展与结果。</w:t>
      </w:r>
    </w:p>
    <w:p w14:paraId="72C23315">
      <w:pPr>
        <w:pStyle w:val="28"/>
        <w:bidi w:val="0"/>
        <w:rPr>
          <w:rFonts w:hint="default"/>
          <w:lang w:val="en-US" w:eastAsia="zh-CN"/>
        </w:rPr>
      </w:pPr>
      <w:bookmarkStart w:id="11" w:name="_Toc7274"/>
      <w:r>
        <w:rPr>
          <w:rFonts w:hint="default"/>
          <w:lang w:val="en-US" w:eastAsia="zh-CN"/>
        </w:rPr>
        <w:t>改进机会的来源与识别</w:t>
      </w:r>
      <w:bookmarkEnd w:id="11"/>
    </w:p>
    <w:p w14:paraId="4A2E3252">
      <w:pPr>
        <w:pStyle w:val="29"/>
        <w:rPr>
          <w:rFonts w:hint="default"/>
          <w:lang w:val="en-US" w:eastAsia="zh-CN"/>
        </w:rPr>
      </w:pPr>
      <w:r>
        <w:rPr>
          <w:rFonts w:hint="default"/>
          <w:lang w:val="en-US" w:eastAsia="zh-CN"/>
        </w:rPr>
        <w:t>质量改进机会应系统性地从以下渠道进行识别与收集：</w:t>
      </w:r>
    </w:p>
    <w:p w14:paraId="1718A804">
      <w:pPr>
        <w:pStyle w:val="29"/>
        <w:rPr>
          <w:rFonts w:hint="default"/>
          <w:lang w:val="en-US" w:eastAsia="zh-CN"/>
        </w:rPr>
      </w:pPr>
      <w:r>
        <w:rPr>
          <w:rFonts w:hint="default"/>
          <w:lang w:val="en-US" w:eastAsia="zh-CN"/>
        </w:rPr>
        <w:t>客户反馈：客户满意度调查、日常沟通、投诉与建议中反映的问题和期望。</w:t>
      </w:r>
    </w:p>
    <w:p w14:paraId="72D1A3A3">
      <w:pPr>
        <w:pStyle w:val="29"/>
        <w:rPr>
          <w:rFonts w:hint="default"/>
          <w:lang w:val="en-US" w:eastAsia="zh-CN"/>
        </w:rPr>
      </w:pPr>
      <w:r>
        <w:rPr>
          <w:rFonts w:hint="default"/>
          <w:lang w:val="en-US" w:eastAsia="zh-CN"/>
        </w:rPr>
        <w:t>内部审核与管理评审：内部审核、管理评审中识别的不符合项、观察项及改进决议。</w:t>
      </w:r>
    </w:p>
    <w:p w14:paraId="7C62C4DF">
      <w:pPr>
        <w:pStyle w:val="29"/>
        <w:rPr>
          <w:rFonts w:hint="default"/>
          <w:lang w:val="en-US" w:eastAsia="zh-CN"/>
        </w:rPr>
      </w:pPr>
      <w:r>
        <w:rPr>
          <w:rFonts w:hint="default"/>
          <w:lang w:val="en-US" w:eastAsia="zh-CN"/>
        </w:rPr>
        <w:t>服务过程监控：对服务级别协议（SLA）、关键绩效指标（KPI）的监控数据分析，发现的未达标项或绩效趋势下滑。</w:t>
      </w:r>
    </w:p>
    <w:p w14:paraId="721B11F1">
      <w:pPr>
        <w:pStyle w:val="29"/>
        <w:rPr>
          <w:rFonts w:hint="default"/>
          <w:lang w:val="en-US" w:eastAsia="zh-CN"/>
        </w:rPr>
      </w:pPr>
      <w:r>
        <w:rPr>
          <w:rFonts w:hint="default"/>
          <w:lang w:val="en-US" w:eastAsia="zh-CN"/>
        </w:rPr>
        <w:t>事件与问题分析：对重大事件、重复发生问题的根本原因分析结论。</w:t>
      </w:r>
    </w:p>
    <w:p w14:paraId="1689403F">
      <w:pPr>
        <w:pStyle w:val="29"/>
        <w:rPr>
          <w:rFonts w:hint="default"/>
          <w:lang w:val="en-US" w:eastAsia="zh-CN"/>
        </w:rPr>
      </w:pPr>
      <w:r>
        <w:rPr>
          <w:rFonts w:hint="default"/>
          <w:lang w:val="en-US" w:eastAsia="zh-CN"/>
        </w:rPr>
        <w:t>战略与业务变化：公司战略调整、新技术引入、业务范围变化带来的新要求。</w:t>
      </w:r>
    </w:p>
    <w:p w14:paraId="409DE46E">
      <w:pPr>
        <w:pStyle w:val="29"/>
        <w:rPr>
          <w:rFonts w:hint="default"/>
          <w:lang w:val="en-US" w:eastAsia="zh-CN"/>
        </w:rPr>
      </w:pPr>
      <w:r>
        <w:rPr>
          <w:rFonts w:hint="default"/>
          <w:lang w:val="en-US" w:eastAsia="zh-CN"/>
        </w:rPr>
        <w:t>员工建议：全体员工提出的合理化改进建议。</w:t>
      </w:r>
    </w:p>
    <w:p w14:paraId="51E67190">
      <w:pPr>
        <w:pStyle w:val="28"/>
        <w:bidi w:val="0"/>
        <w:rPr>
          <w:rFonts w:hint="default"/>
          <w:lang w:val="en-US" w:eastAsia="zh-CN"/>
        </w:rPr>
      </w:pPr>
      <w:bookmarkStart w:id="12" w:name="_Toc21978"/>
      <w:r>
        <w:rPr>
          <w:rFonts w:hint="default"/>
          <w:lang w:val="en-US" w:eastAsia="zh-CN"/>
        </w:rPr>
        <w:t>质量改进管理流程</w:t>
      </w:r>
      <w:bookmarkEnd w:id="12"/>
    </w:p>
    <w:p w14:paraId="4969C576">
      <w:pPr>
        <w:pStyle w:val="29"/>
        <w:rPr>
          <w:rFonts w:hint="default"/>
          <w:lang w:val="en-US" w:eastAsia="zh-CN"/>
        </w:rPr>
      </w:pPr>
      <w:r>
        <w:rPr>
          <w:rFonts w:hint="default"/>
          <w:lang w:val="en-US" w:eastAsia="zh-CN"/>
        </w:rPr>
        <w:t>本流程遵循“识别-评审-计划-实施-验证-固化”的闭环管理模型。</w:t>
      </w:r>
    </w:p>
    <w:p w14:paraId="69A0F02C">
      <w:pPr>
        <w:pStyle w:val="30"/>
        <w:bidi w:val="0"/>
        <w:rPr>
          <w:rFonts w:hint="default"/>
          <w:lang w:val="en-US" w:eastAsia="zh-CN"/>
        </w:rPr>
      </w:pPr>
      <w:bookmarkStart w:id="13" w:name="_Toc4259"/>
      <w:r>
        <w:rPr>
          <w:rFonts w:hint="default"/>
          <w:lang w:val="en-US" w:eastAsia="zh-CN"/>
        </w:rPr>
        <w:t>改进提议与立项</w:t>
      </w:r>
      <w:bookmarkEnd w:id="13"/>
    </w:p>
    <w:p w14:paraId="62294C60">
      <w:pPr>
        <w:pStyle w:val="29"/>
        <w:rPr>
          <w:rFonts w:hint="default"/>
          <w:lang w:val="en-US" w:eastAsia="zh-CN"/>
        </w:rPr>
      </w:pPr>
      <w:r>
        <w:rPr>
          <w:rFonts w:hint="default"/>
          <w:lang w:val="en-US" w:eastAsia="zh-CN"/>
        </w:rPr>
        <w:t>任何部门或个人均可通过规定的渠道提交《质量改进建议表》。</w:t>
      </w:r>
    </w:p>
    <w:p w14:paraId="0354B5E7">
      <w:pPr>
        <w:pStyle w:val="29"/>
        <w:rPr>
          <w:rFonts w:hint="default"/>
          <w:lang w:val="en-US" w:eastAsia="zh-CN"/>
        </w:rPr>
      </w:pPr>
      <w:r>
        <w:rPr>
          <w:rFonts w:hint="default"/>
          <w:lang w:val="en-US" w:eastAsia="zh-CN"/>
        </w:rPr>
        <w:t>质量管理部定期（如每季度）组织对收集到的改进建议进行初步评审，评估其必要性、紧迫性和潜在价值。</w:t>
      </w:r>
    </w:p>
    <w:p w14:paraId="24737956">
      <w:pPr>
        <w:pStyle w:val="29"/>
        <w:rPr>
          <w:rFonts w:hint="default"/>
          <w:lang w:val="en-US" w:eastAsia="zh-CN"/>
        </w:rPr>
      </w:pPr>
      <w:r>
        <w:rPr>
          <w:rFonts w:hint="default"/>
          <w:lang w:val="en-US" w:eastAsia="zh-CN"/>
        </w:rPr>
        <w:t>对于需跨部门协调、资源投入较大或影响深远的改进建议，由提议部门或质量管理部编写《质量改进项目立项申请》，明确改进目标、范围、初步方案、资源需求及预期效益，报质量管理部经理审批。</w:t>
      </w:r>
    </w:p>
    <w:p w14:paraId="559DC112">
      <w:pPr>
        <w:pStyle w:val="30"/>
        <w:bidi w:val="0"/>
        <w:rPr>
          <w:rFonts w:hint="default"/>
          <w:lang w:val="en-US" w:eastAsia="zh-CN"/>
        </w:rPr>
      </w:pPr>
      <w:bookmarkStart w:id="14" w:name="_Toc871"/>
      <w:r>
        <w:rPr>
          <w:rFonts w:hint="default"/>
          <w:lang w:val="en-US" w:eastAsia="zh-CN"/>
        </w:rPr>
        <w:t>原因分析与计划制定</w:t>
      </w:r>
      <w:bookmarkEnd w:id="14"/>
    </w:p>
    <w:p w14:paraId="047389F0">
      <w:pPr>
        <w:pStyle w:val="29"/>
        <w:rPr>
          <w:rFonts w:hint="default"/>
          <w:lang w:val="en-US" w:eastAsia="zh-CN"/>
        </w:rPr>
      </w:pPr>
      <w:r>
        <w:rPr>
          <w:rFonts w:hint="default"/>
          <w:lang w:val="en-US" w:eastAsia="zh-CN"/>
        </w:rPr>
        <w:t>改进项目立项后，由责任部门对需改进的问题进行根本原因分析。</w:t>
      </w:r>
    </w:p>
    <w:p w14:paraId="22A6F58A">
      <w:pPr>
        <w:pStyle w:val="29"/>
        <w:rPr>
          <w:rFonts w:hint="default"/>
          <w:lang w:val="en-US" w:eastAsia="zh-CN"/>
        </w:rPr>
      </w:pPr>
      <w:r>
        <w:rPr>
          <w:rFonts w:hint="default"/>
          <w:lang w:val="en-US" w:eastAsia="zh-CN"/>
        </w:rPr>
        <w:t>基于原因分析结果，责任部门制定详细的《改进实施计划》，内容包括：具体改进措施、实施步骤、责任人与完成时限、所需资源、验证方法及风险应对措施。</w:t>
      </w:r>
    </w:p>
    <w:p w14:paraId="3AF1744F">
      <w:pPr>
        <w:pStyle w:val="29"/>
        <w:rPr>
          <w:rFonts w:hint="default"/>
          <w:lang w:val="en-US" w:eastAsia="zh-CN"/>
        </w:rPr>
      </w:pPr>
      <w:r>
        <w:rPr>
          <w:rFonts w:hint="default"/>
          <w:lang w:val="en-US" w:eastAsia="zh-CN"/>
        </w:rPr>
        <w:t>《改进实施计划》需经质量管理部经理审核批准。</w:t>
      </w:r>
    </w:p>
    <w:p w14:paraId="1EB3F2C0">
      <w:pPr>
        <w:pStyle w:val="30"/>
        <w:bidi w:val="0"/>
        <w:rPr>
          <w:rFonts w:hint="default"/>
          <w:lang w:val="en-US" w:eastAsia="zh-CN"/>
        </w:rPr>
      </w:pPr>
      <w:bookmarkStart w:id="15" w:name="_Toc30832"/>
      <w:r>
        <w:rPr>
          <w:rFonts w:hint="default"/>
          <w:lang w:val="en-US" w:eastAsia="zh-CN"/>
        </w:rPr>
        <w:t>改进措施实施</w:t>
      </w:r>
      <w:bookmarkEnd w:id="15"/>
    </w:p>
    <w:p w14:paraId="689EFDAF">
      <w:pPr>
        <w:pStyle w:val="29"/>
        <w:rPr>
          <w:rFonts w:hint="default"/>
          <w:lang w:val="en-US" w:eastAsia="zh-CN"/>
        </w:rPr>
      </w:pPr>
      <w:r>
        <w:rPr>
          <w:rFonts w:hint="default"/>
          <w:lang w:val="en-US" w:eastAsia="zh-CN"/>
        </w:rPr>
        <w:t>责任部门按照批准的《改进实施计划》组织资源，严格执行各项改进措施。</w:t>
      </w:r>
    </w:p>
    <w:p w14:paraId="0A123436">
      <w:pPr>
        <w:pStyle w:val="29"/>
        <w:rPr>
          <w:rFonts w:hint="default"/>
          <w:lang w:val="en-US" w:eastAsia="zh-CN"/>
        </w:rPr>
      </w:pPr>
      <w:r>
        <w:rPr>
          <w:rFonts w:hint="default"/>
          <w:lang w:val="en-US" w:eastAsia="zh-CN"/>
        </w:rPr>
        <w:t>质量管理专员负责跟踪改进项目的实施进度，定期向质量管理部经理汇报，并协调解决实施过程中的障碍。</w:t>
      </w:r>
    </w:p>
    <w:p w14:paraId="5167E8B4">
      <w:pPr>
        <w:pStyle w:val="30"/>
        <w:bidi w:val="0"/>
        <w:rPr>
          <w:rFonts w:hint="default"/>
          <w:lang w:val="en-US" w:eastAsia="zh-CN"/>
        </w:rPr>
      </w:pPr>
      <w:bookmarkStart w:id="16" w:name="_Toc19779"/>
      <w:r>
        <w:rPr>
          <w:rFonts w:hint="default"/>
          <w:lang w:val="en-US" w:eastAsia="zh-CN"/>
        </w:rPr>
        <w:t>效果验证与评估</w:t>
      </w:r>
      <w:bookmarkEnd w:id="16"/>
    </w:p>
    <w:p w14:paraId="0C960101">
      <w:pPr>
        <w:pStyle w:val="29"/>
        <w:rPr>
          <w:rFonts w:hint="default"/>
          <w:lang w:val="en-US" w:eastAsia="zh-CN"/>
        </w:rPr>
      </w:pPr>
      <w:r>
        <w:rPr>
          <w:rFonts w:hint="default"/>
          <w:lang w:val="en-US" w:eastAsia="zh-CN"/>
        </w:rPr>
        <w:t>改进措施完成后，由责任部门收集相关数据，进行自我验证，并形成初步结论。</w:t>
      </w:r>
    </w:p>
    <w:p w14:paraId="1743ABC0">
      <w:pPr>
        <w:pStyle w:val="29"/>
        <w:rPr>
          <w:rFonts w:hint="default"/>
          <w:lang w:val="en-US" w:eastAsia="zh-CN"/>
        </w:rPr>
      </w:pPr>
      <w:r>
        <w:rPr>
          <w:rFonts w:hint="default"/>
          <w:lang w:val="en-US" w:eastAsia="zh-CN"/>
        </w:rPr>
        <w:t>质量管理部组织（或委托质量管理专员）对改进效果进行独立验证。验证应依据立项时设定的目标，通过数据对比、测试、评审等方式进行。</w:t>
      </w:r>
    </w:p>
    <w:p w14:paraId="30CF9B98">
      <w:pPr>
        <w:pStyle w:val="29"/>
        <w:rPr>
          <w:rFonts w:hint="default"/>
          <w:lang w:val="en-US" w:eastAsia="zh-CN"/>
        </w:rPr>
      </w:pPr>
      <w:r>
        <w:rPr>
          <w:rFonts w:hint="default"/>
          <w:lang w:val="en-US" w:eastAsia="zh-CN"/>
        </w:rPr>
        <w:t>验证通过后，形成《质量改进项目结项报告》，报质量管理部经理审批。验证未通过的，需重新分析原因并制定新的改进措施，循环此流程。</w:t>
      </w:r>
    </w:p>
    <w:p w14:paraId="32CF9AB1">
      <w:pPr>
        <w:pStyle w:val="30"/>
        <w:bidi w:val="0"/>
        <w:rPr>
          <w:rFonts w:hint="default"/>
          <w:lang w:val="en-US" w:eastAsia="zh-CN"/>
        </w:rPr>
      </w:pPr>
      <w:bookmarkStart w:id="17" w:name="_Toc7985"/>
      <w:r>
        <w:rPr>
          <w:rFonts w:hint="default"/>
          <w:lang w:val="en-US" w:eastAsia="zh-CN"/>
        </w:rPr>
        <w:t>知识固化与推广</w:t>
      </w:r>
      <w:bookmarkEnd w:id="17"/>
    </w:p>
    <w:p w14:paraId="33B9BD68">
      <w:pPr>
        <w:pStyle w:val="29"/>
        <w:rPr>
          <w:rFonts w:hint="default"/>
          <w:lang w:val="en-US" w:eastAsia="zh-CN"/>
        </w:rPr>
      </w:pPr>
      <w:r>
        <w:rPr>
          <w:rFonts w:hint="default"/>
          <w:lang w:val="en-US" w:eastAsia="zh-CN"/>
        </w:rPr>
        <w:t>所有成功结项的改进项目，其有效的措施、方法、最佳实践及经验教训，应由责任部门整理成知识文档</w:t>
      </w:r>
      <w:r>
        <w:rPr>
          <w:rFonts w:hint="eastAsia"/>
          <w:lang w:val="en-US" w:eastAsia="zh-CN"/>
        </w:rPr>
        <w:t>。</w:t>
      </w:r>
    </w:p>
    <w:p w14:paraId="7D8B80DF">
      <w:pPr>
        <w:pStyle w:val="29"/>
        <w:rPr>
          <w:rFonts w:hint="default"/>
          <w:lang w:val="en-US" w:eastAsia="zh-CN"/>
        </w:rPr>
      </w:pPr>
      <w:r>
        <w:rPr>
          <w:rFonts w:hint="default"/>
          <w:lang w:val="en-US" w:eastAsia="zh-CN"/>
        </w:rPr>
        <w:t>知识文档经相关部门评审后，由质量管理部协调，纳入公司服务知识库或相关管理体系文件。</w:t>
      </w:r>
    </w:p>
    <w:p w14:paraId="5D62C64C">
      <w:pPr>
        <w:pStyle w:val="29"/>
        <w:rPr>
          <w:rFonts w:hint="default"/>
          <w:lang w:val="en-US" w:eastAsia="zh-CN"/>
        </w:rPr>
      </w:pPr>
      <w:r>
        <w:rPr>
          <w:rFonts w:hint="default"/>
          <w:lang w:val="en-US" w:eastAsia="zh-CN"/>
        </w:rPr>
        <w:t>必要时，组织相关的培训或经验分享会，确保改进成果在组织内得到有效传播和应用。</w:t>
      </w:r>
    </w:p>
    <w:p w14:paraId="2CEE0218">
      <w:pPr>
        <w:pStyle w:val="28"/>
        <w:bidi w:val="0"/>
        <w:rPr>
          <w:rFonts w:hint="default"/>
          <w:lang w:val="en-US" w:eastAsia="zh-CN"/>
        </w:rPr>
      </w:pPr>
      <w:bookmarkStart w:id="18" w:name="_Toc13215"/>
      <w:r>
        <w:rPr>
          <w:rFonts w:hint="default"/>
          <w:lang w:val="en-US" w:eastAsia="zh-CN"/>
        </w:rPr>
        <w:t>与其他管理流程的衔接</w:t>
      </w:r>
      <w:bookmarkEnd w:id="18"/>
    </w:p>
    <w:p w14:paraId="3E4F7464">
      <w:pPr>
        <w:pStyle w:val="29"/>
        <w:rPr>
          <w:rFonts w:hint="default"/>
          <w:lang w:val="en-US" w:eastAsia="zh-CN"/>
        </w:rPr>
      </w:pPr>
      <w:r>
        <w:rPr>
          <w:rFonts w:hint="default"/>
          <w:lang w:val="en-US" w:eastAsia="zh-CN"/>
        </w:rPr>
        <w:t>与客户满意度管理衔接：客户满意度调查分析报告中识别的待改进项，应直接作为本制度的重要输入，启动改进流程。</w:t>
      </w:r>
    </w:p>
    <w:p w14:paraId="46E26074">
      <w:pPr>
        <w:pStyle w:val="29"/>
        <w:rPr>
          <w:rFonts w:hint="default"/>
          <w:lang w:val="en-US" w:eastAsia="zh-CN"/>
        </w:rPr>
      </w:pPr>
      <w:r>
        <w:rPr>
          <w:rFonts w:hint="default"/>
          <w:lang w:val="en-US" w:eastAsia="zh-CN"/>
        </w:rPr>
        <w:t>与内部审核/管理评审衔接：内部审核发现的不符合项及管理评审输出的改进决议，必须按照本制度的要求制定纠正与预防措施计划，并跟踪闭环。</w:t>
      </w:r>
    </w:p>
    <w:p w14:paraId="075DA73C">
      <w:pPr>
        <w:pStyle w:val="29"/>
        <w:rPr>
          <w:rFonts w:hint="default"/>
          <w:lang w:val="en-US" w:eastAsia="zh-CN"/>
        </w:rPr>
      </w:pPr>
      <w:r>
        <w:rPr>
          <w:rFonts w:hint="default"/>
          <w:lang w:val="en-US" w:eastAsia="zh-CN"/>
        </w:rPr>
        <w:t>与服务交付流程衔接：日常运维服务中通过事件、问题管理流程识别的系统性改进机会，应提报至本流程进行处理。</w:t>
      </w:r>
    </w:p>
    <w:p w14:paraId="7ADBD886">
      <w:pPr>
        <w:pStyle w:val="28"/>
        <w:bidi w:val="0"/>
        <w:rPr>
          <w:rFonts w:hint="default"/>
          <w:lang w:val="en-US" w:eastAsia="zh-CN"/>
        </w:rPr>
      </w:pPr>
      <w:bookmarkStart w:id="19" w:name="_Toc9567"/>
      <w:r>
        <w:rPr>
          <w:rFonts w:hint="default"/>
          <w:lang w:val="en-US" w:eastAsia="zh-CN"/>
        </w:rPr>
        <w:t>附则</w:t>
      </w:r>
      <w:bookmarkEnd w:id="19"/>
    </w:p>
    <w:p w14:paraId="2C65E346">
      <w:pPr>
        <w:pStyle w:val="29"/>
        <w:rPr>
          <w:rFonts w:hint="default"/>
          <w:lang w:val="en-US" w:eastAsia="zh-CN"/>
        </w:rPr>
      </w:pPr>
      <w:r>
        <w:rPr>
          <w:rFonts w:hint="default"/>
          <w:lang w:val="en-US" w:eastAsia="zh-CN"/>
        </w:rPr>
        <w:t>本制度由质量管理部负责解释与修订。</w:t>
      </w:r>
    </w:p>
    <w:p w14:paraId="1AAE71ED">
      <w:pPr>
        <w:pStyle w:val="29"/>
        <w:rPr>
          <w:rFonts w:hint="default"/>
          <w:lang w:val="en-US" w:eastAsia="zh-CN"/>
        </w:rPr>
      </w:pPr>
      <w:r>
        <w:rPr>
          <w:rFonts w:hint="default"/>
          <w:lang w:val="en-US" w:eastAsia="zh-CN"/>
        </w:rPr>
        <w:t>本制度自发布之日起正式实施，相关改进活动须遵照执行。</w:t>
      </w:r>
    </w:p>
    <w:p w14:paraId="18A3B7C9">
      <w:pPr>
        <w:pStyle w:val="29"/>
        <w:rPr>
          <w:rFonts w:hint="default"/>
          <w:lang w:val="en-US" w:eastAsia="zh-CN"/>
        </w:rPr>
      </w:pPr>
      <w:r>
        <w:rPr>
          <w:rFonts w:hint="default"/>
          <w:lang w:val="en-US" w:eastAsia="zh-CN"/>
        </w:rPr>
        <w:t>本制度的支持性文件包括：</w:t>
      </w:r>
    </w:p>
    <w:p w14:paraId="0B66449E">
      <w:pPr>
        <w:pStyle w:val="29"/>
        <w:numPr>
          <w:ilvl w:val="0"/>
          <w:numId w:val="2"/>
        </w:numPr>
        <w:ind w:left="425" w:leftChars="0" w:hanging="425" w:firstLineChars="0"/>
        <w:rPr>
          <w:rFonts w:hint="default"/>
          <w:lang w:val="en-US" w:eastAsia="zh-CN"/>
        </w:rPr>
      </w:pPr>
      <w:r>
        <w:rPr>
          <w:rFonts w:hint="default"/>
          <w:lang w:val="en-US" w:eastAsia="zh-CN"/>
        </w:rPr>
        <w:t>《质量改进建议表》</w:t>
      </w:r>
    </w:p>
    <w:p w14:paraId="42B21066">
      <w:pPr>
        <w:pStyle w:val="29"/>
        <w:numPr>
          <w:ilvl w:val="0"/>
          <w:numId w:val="2"/>
        </w:numPr>
        <w:ind w:left="425" w:leftChars="0" w:hanging="425" w:firstLineChars="0"/>
        <w:rPr>
          <w:rFonts w:hint="default"/>
          <w:lang w:val="en-US" w:eastAsia="zh-CN"/>
        </w:rPr>
      </w:pPr>
      <w:r>
        <w:rPr>
          <w:rFonts w:hint="default"/>
          <w:lang w:val="en-US" w:eastAsia="zh-CN"/>
        </w:rPr>
        <w:t>《质量改进项目立项申请》</w:t>
      </w:r>
    </w:p>
    <w:p w14:paraId="213A48B8">
      <w:pPr>
        <w:pStyle w:val="29"/>
        <w:numPr>
          <w:ilvl w:val="0"/>
          <w:numId w:val="2"/>
        </w:numPr>
        <w:ind w:left="425" w:leftChars="0" w:hanging="425" w:firstLineChars="0"/>
        <w:rPr>
          <w:rFonts w:hint="default"/>
          <w:lang w:val="en-US" w:eastAsia="zh-CN"/>
        </w:rPr>
      </w:pPr>
      <w:r>
        <w:rPr>
          <w:rFonts w:hint="default"/>
          <w:lang w:val="en-US" w:eastAsia="zh-CN"/>
        </w:rPr>
        <w:t>《改进实施计划》</w:t>
      </w:r>
    </w:p>
    <w:p w14:paraId="63E15A82">
      <w:pPr>
        <w:pStyle w:val="29"/>
        <w:numPr>
          <w:ilvl w:val="0"/>
          <w:numId w:val="2"/>
        </w:numPr>
        <w:ind w:left="425" w:leftChars="0" w:hanging="425" w:firstLineChars="0"/>
        <w:rPr>
          <w:rFonts w:hint="default"/>
          <w:lang w:val="en-US" w:eastAsia="zh-CN"/>
        </w:rPr>
      </w:pPr>
      <w:r>
        <w:rPr>
          <w:rFonts w:hint="default"/>
          <w:lang w:val="en-US" w:eastAsia="zh-CN"/>
        </w:rPr>
        <w:t>《质量改进项目结项报告》</w:t>
      </w:r>
    </w:p>
    <w:p w14:paraId="34C9C5C6">
      <w:pPr>
        <w:pStyle w:val="29"/>
        <w:rPr>
          <w:rFonts w:hint="default"/>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A3FDF">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022307C0"/>
    <w:multiLevelType w:val="singleLevel"/>
    <w:tmpl w:val="022307C0"/>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6BC3E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2201</Words>
  <Characters>2305</Characters>
  <Lines>0</Lines>
  <Paragraphs>0</Paragraphs>
  <TotalTime>0</TotalTime>
  <ScaleCrop>false</ScaleCrop>
  <LinksUpToDate>false</LinksUpToDate>
  <CharactersWithSpaces>2387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2026-05-06T20:19:56Z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