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23638"/>
      <w:r>
        <w:drawing>
          <wp:anchor distT="0" distB="0" distL="114300" distR="114300" simplePos="0" relativeHeight="251660288"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4"/>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59264"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xmlns:r="http://schemas.openxmlformats.org/officeDocument/2006/relationships" r:embed="rId5"/>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8240"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xmlns:r="http://schemas.openxmlformats.org/officeDocument/2006/relationships" r:embed="rId6">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桐乡华数广电网络有限公司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18548"/>
      <w:r>
        <w:rPr>
          <w:rFonts w:hint="eastAsia"/>
          <w:lang w:val="en-US" w:eastAsia="zh-CN"/>
        </w:rPr>
        <w:t>运维服务内审管理制度</w:t>
      </w:r>
      <w:bookmarkEnd w:id="1"/>
    </w:p>
    <w:p>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right="0" w:firstLine="0" w:leftChars="0" w:rightChars="0" w:firstLineChars="0"/>
        <w:jc w:val="center"/>
        <w:textAlignment w:val="baseline"/>
        <w:rPr>
          <w:rFonts w:ascii="宋体" w:eastAsia="宋体" w:hAnsi="宋体" w:cs="宋体" w:hint="eastAsia"/>
          <w:sz w:val="24"/>
          <w:szCs w:val="24"/>
          <w:lang w:val="en-US" w:eastAsia="zh-CN"/>
        </w:rPr>
      </w:pPr>
      <w:r>
        <w:rPr>
          <w:rFonts w:ascii="宋体" w:eastAsia="宋体" w:hAnsi="宋体" w:cs="宋体"/>
          <w:b/>
          <w:bCs/>
          <w:spacing w:val="-3"/>
          <w:sz w:val="24"/>
          <w:szCs w:val="24"/>
        </w:rPr>
        <w:t>文件编号：</w:t>
      </w:r>
      <w:r>
        <w:rPr>
          <w:rFonts w:ascii="宋体" w:eastAsia="宋体" w:hAnsi="宋体" w:cs="宋体" w:hint="eastAsia"/>
          <w:b/>
          <w:bCs/>
          <w:spacing w:val="-3"/>
          <w:sz w:val="24"/>
          <w:szCs w:val="24"/>
          <w:lang w:val="en-US" w:eastAsia="zh-CN"/>
        </w:rPr>
        <w:t>TXHS</w:t>
      </w:r>
      <w:r>
        <w:rPr>
          <w:rFonts w:ascii="宋体" w:eastAsia="宋体" w:hAnsi="宋体" w:cs="宋体"/>
          <w:b/>
          <w:bCs/>
          <w:spacing w:val="-3"/>
          <w:sz w:val="24"/>
          <w:szCs w:val="24"/>
        </w:rPr>
        <w:t>-0</w:t>
      </w:r>
      <w:r>
        <w:rPr>
          <w:rFonts w:ascii="宋体" w:hAnsi="宋体" w:cs="宋体" w:hint="eastAsia"/>
          <w:b/>
          <w:bCs/>
          <w:spacing w:val="-3"/>
          <w:sz w:val="24"/>
          <w:szCs w:val="24"/>
          <w:lang w:val="en-US" w:eastAsia="zh-CN"/>
        </w:rPr>
        <w:t>4</w:t>
      </w:r>
      <w:r>
        <w:rPr>
          <w:rFonts w:ascii="宋体" w:eastAsia="宋体" w:hAnsi="宋体" w:cs="宋体"/>
          <w:b/>
          <w:bCs/>
          <w:spacing w:val="-3"/>
          <w:sz w:val="24"/>
          <w:szCs w:val="24"/>
        </w:rPr>
        <w:t>-0</w:t>
      </w:r>
      <w:r>
        <w:rPr>
          <w:rFonts w:ascii="宋体" w:hAnsi="宋体" w:cs="宋体" w:hint="eastAsia"/>
          <w:b/>
          <w:bCs/>
          <w:spacing w:val="-3"/>
          <w:sz w:val="24"/>
          <w:szCs w:val="24"/>
          <w:lang w:val="en-US" w:eastAsia="zh-CN"/>
        </w:rPr>
        <w:t>6</w:t>
      </w: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2432"/>
        <w:gridCol w:w="2708"/>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2432"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质量管理部</w:t>
            </w:r>
          </w:p>
        </w:tc>
        <w:tc>
          <w:tcPr>
            <w:tcW w:w="2708"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810"/>
          <w:jc w:val="center"/>
        </w:trPr>
        <w:tc>
          <w:tcPr>
            <w:tcW w:w="2432" w:type="dxa"/>
            <w:shd w:val="clear" w:color="auto" w:fill="auto"/>
          </w:tcPr>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asciiTheme="minorAscii" w:eastAsiaTheme="minorEastAsia" w:hAnsiTheme="minorAscii" w:hint="default"/>
                <w:spacing w:val="227"/>
                <w:sz w:val="21"/>
                <w:vertAlign w:val="baseline"/>
                <w:lang w:val="en-US" w:eastAsia="zh-CN"/>
              </w:rPr>
              <w:t>:</w:t>
            </w:r>
            <w:r>
              <w:rPr>
                <w:rFonts w:hint="eastAsia"/>
                <w:spacing w:val="66"/>
                <w:kern w:val="0"/>
                <w:u w:val="single"/>
                <w:vertAlign w:val="baseline"/>
                <w:lang w:val="en-US" w:eastAsia="zh-CN"/>
              </w:rPr>
              <w:t>V1.0</w:t>
            </w:r>
          </w:p>
        </w:tc>
        <w:tc>
          <w:tcPr>
            <w:tcW w:w="2708" w:type="dxa"/>
            <w:shd w:val="clear" w:color="auto" w:fill="auto"/>
          </w:tcPr>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vertAlign w:val="baseline"/>
                <w:lang w:val="en-US" w:eastAsia="zh-CN"/>
              </w:rPr>
              <w:t>审核时间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635"/>
          <w:jc w:val="center"/>
        </w:trPr>
        <w:tc>
          <w:tcPr>
            <w:tcW w:w="2432"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吴亚红</w:t>
            </w:r>
          </w:p>
        </w:tc>
        <w:tc>
          <w:tcPr>
            <w:tcW w:w="2708"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bl>
    <w:p>
      <w:pPr>
        <w:keepNext w:val="0"/>
        <w:keepLines w:val="0"/>
        <w:pageBreakBefore w:val="0"/>
        <w:widowControl w:val="0"/>
        <w:kinsoku w:val="0"/>
        <w:wordWrap/>
        <w:overflowPunct/>
        <w:autoSpaceDE w:val="0"/>
        <w:autoSpaceDN w:val="0"/>
        <w:bidi w:val="0"/>
        <w:adjustRightInd w:val="0"/>
        <w:snapToGrid w:val="0"/>
        <w:textAlignment w:val="baseline"/>
      </w:pPr>
      <w:r>
        <w:br w:type="page"/>
      </w:r>
    </w:p>
    <w:p>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821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317"/>
        <w:gridCol w:w="972"/>
        <w:gridCol w:w="1575"/>
        <w:gridCol w:w="1829"/>
        <w:gridCol w:w="1606"/>
        <w:gridCol w:w="915"/>
      </w:tblGrid>
      <w:tr>
        <w:tblPrEx>
          <w:tblW w:w="821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jc w:val="center"/>
        </w:trPr>
        <w:tc>
          <w:tcPr>
            <w:tcW w:w="1317" w:type="dxa"/>
          </w:tcPr>
          <w:p>
            <w:pPr>
              <w:keepNext w:val="0"/>
              <w:keepLines w:val="0"/>
              <w:pageBreakBefore w:val="0"/>
              <w:widowControl w:val="0"/>
              <w:kinsoku w:val="0"/>
              <w:wordWrap/>
              <w:overflowPunct/>
              <w:autoSpaceDE w:val="0"/>
              <w:autoSpaceDN w:val="0"/>
              <w:bidi w:val="0"/>
              <w:adjustRightInd w:val="0"/>
              <w:snapToGrid w:val="0"/>
              <w:spacing w:before="176" w:line="228" w:lineRule="auto"/>
              <w:ind w:left="0" w:right="0" w:firstLine="0" w:leftChars="0" w:rightChars="0" w:firstLineChars="0"/>
              <w:jc w:val="center"/>
              <w:textAlignment w:val="baseline"/>
              <w:rPr>
                <w:rFonts w:ascii="宋体" w:eastAsia="宋体" w:hAnsi="宋体" w:cs="宋体"/>
                <w:sz w:val="20"/>
                <w:szCs w:val="20"/>
              </w:rPr>
            </w:pPr>
            <w:r>
              <w:rPr>
                <w:rFonts w:ascii="宋体" w:hAnsi="宋体" w:cs="宋体" w:hint="eastAsia"/>
                <w:spacing w:val="-14"/>
                <w:sz w:val="20"/>
                <w:szCs w:val="20"/>
                <w:lang w:val="en-US" w:eastAsia="zh-CN"/>
              </w:rPr>
              <w:t>修订</w:t>
            </w:r>
            <w:r>
              <w:rPr>
                <w:rFonts w:ascii="宋体" w:eastAsia="宋体" w:hAnsi="宋体" w:cs="宋体"/>
                <w:spacing w:val="-14"/>
                <w:sz w:val="20"/>
                <w:szCs w:val="20"/>
              </w:rPr>
              <w:t>日期</w:t>
            </w:r>
          </w:p>
        </w:tc>
        <w:tc>
          <w:tcPr>
            <w:tcW w:w="972" w:type="dxa"/>
          </w:tcPr>
          <w:p>
            <w:pPr>
              <w:keepNext w:val="0"/>
              <w:keepLines w:val="0"/>
              <w:pageBreakBefore w:val="0"/>
              <w:widowControl w:val="0"/>
              <w:kinsoku w:val="0"/>
              <w:wordWrap/>
              <w:overflowPunct/>
              <w:autoSpaceDE w:val="0"/>
              <w:autoSpaceDN w:val="0"/>
              <w:bidi w:val="0"/>
              <w:adjustRightInd w:val="0"/>
              <w:snapToGrid w:val="0"/>
              <w:spacing w:before="175" w:line="227"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sz w:val="20"/>
                <w:szCs w:val="20"/>
              </w:rPr>
              <w:t>版本</w:t>
            </w:r>
          </w:p>
        </w:tc>
        <w:tc>
          <w:tcPr>
            <w:tcW w:w="1575"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变更说明</w:t>
            </w:r>
          </w:p>
        </w:tc>
        <w:tc>
          <w:tcPr>
            <w:tcW w:w="1829"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hint="eastAsia"/>
                <w:spacing w:val="7"/>
                <w:sz w:val="20"/>
                <w:szCs w:val="20"/>
                <w:lang w:val="en-US" w:eastAsia="zh-CN"/>
              </w:rPr>
            </w:pPr>
            <w:r>
              <w:rPr>
                <w:rFonts w:ascii="宋体" w:hAnsi="宋体" w:cs="宋体" w:hint="eastAsia"/>
                <w:spacing w:val="7"/>
                <w:sz w:val="20"/>
                <w:szCs w:val="20"/>
                <w:lang w:val="en-US" w:eastAsia="zh-CN"/>
              </w:rPr>
              <w:t>修订人</w:t>
            </w:r>
          </w:p>
        </w:tc>
        <w:tc>
          <w:tcPr>
            <w:tcW w:w="1606"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hAnsi="宋体" w:cs="宋体" w:hint="default"/>
                <w:spacing w:val="7"/>
                <w:sz w:val="20"/>
                <w:szCs w:val="20"/>
                <w:lang w:val="en-US" w:eastAsia="zh-CN"/>
              </w:rPr>
            </w:pPr>
            <w:r>
              <w:rPr>
                <w:rFonts w:ascii="宋体" w:hAnsi="宋体" w:cs="宋体" w:hint="eastAsia"/>
                <w:spacing w:val="7"/>
                <w:sz w:val="20"/>
                <w:szCs w:val="20"/>
                <w:lang w:val="en-US" w:eastAsia="zh-CN"/>
              </w:rPr>
              <w:t>审批人</w:t>
            </w:r>
          </w:p>
        </w:tc>
        <w:tc>
          <w:tcPr>
            <w:tcW w:w="915" w:type="dxa"/>
          </w:tcPr>
          <w:p>
            <w:pPr>
              <w:keepNext w:val="0"/>
              <w:keepLines w:val="0"/>
              <w:pageBreakBefore w:val="0"/>
              <w:widowControl w:val="0"/>
              <w:kinsoku w:val="0"/>
              <w:wordWrap/>
              <w:overflowPunct/>
              <w:autoSpaceDE w:val="0"/>
              <w:autoSpaceDN w:val="0"/>
              <w:bidi w:val="0"/>
              <w:adjustRightInd w:val="0"/>
              <w:snapToGrid w:val="0"/>
              <w:spacing w:before="176" w:line="229"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批准人</w:t>
            </w:r>
          </w:p>
        </w:tc>
      </w:tr>
      <w:tr>
        <w:tblPrEx>
          <w:tblW w:w="8214" w:type="dxa"/>
          <w:jc w:val="center"/>
          <w:tblLayout w:type="fixed"/>
          <w:tblCellMar>
            <w:top w:w="0" w:type="dxa"/>
            <w:left w:w="0" w:type="dxa"/>
            <w:bottom w:w="0" w:type="dxa"/>
            <w:right w:w="0" w:type="dxa"/>
          </w:tblCellMar>
        </w:tblPrEx>
        <w:trPr>
          <w:trHeight w:val="516"/>
          <w:jc w:val="center"/>
        </w:trPr>
        <w:tc>
          <w:tcPr>
            <w:tcW w:w="1317"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hint="default"/>
                <w:snapToGrid w:val="0"/>
                <w:color w:val="000000"/>
                <w:kern w:val="0"/>
                <w:sz w:val="20"/>
                <w:szCs w:val="20"/>
                <w:lang w:val="en-US" w:eastAsia="en-US" w:bidi="ar-SA"/>
              </w:rPr>
            </w:pPr>
            <w:bookmarkStart w:id="2" w:name="_GoBack" w:colFirst="0" w:colLast="5"/>
            <w:r>
              <w:rPr>
                <w:rFonts w:ascii="宋体" w:eastAsia="宋体" w:hAnsi="宋体" w:cs="宋体"/>
                <w:spacing w:val="3"/>
                <w:position w:val="1"/>
                <w:sz w:val="20"/>
                <w:szCs w:val="20"/>
              </w:rPr>
              <w:t>2025.01.</w:t>
            </w:r>
            <w:r>
              <w:rPr>
                <w:rFonts w:ascii="宋体" w:hAnsi="宋体" w:cs="宋体" w:hint="eastAsia"/>
                <w:spacing w:val="3"/>
                <w:position w:val="1"/>
                <w:sz w:val="20"/>
                <w:szCs w:val="20"/>
                <w:lang w:val="en-US" w:eastAsia="zh-CN"/>
              </w:rPr>
              <w:t>10</w:t>
            </w:r>
          </w:p>
        </w:tc>
        <w:tc>
          <w:tcPr>
            <w:tcW w:w="972"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snapToGrid w:val="0"/>
                <w:color w:val="000000"/>
                <w:kern w:val="0"/>
                <w:sz w:val="20"/>
                <w:szCs w:val="20"/>
                <w:lang w:val="en-US" w:eastAsia="en-US" w:bidi="ar-SA"/>
              </w:rPr>
            </w:pPr>
            <w:r>
              <w:rPr>
                <w:rFonts w:ascii="宋体" w:eastAsia="宋体" w:hAnsi="宋体" w:cs="宋体"/>
                <w:spacing w:val="4"/>
                <w:position w:val="1"/>
                <w:sz w:val="20"/>
                <w:szCs w:val="20"/>
              </w:rPr>
              <w:t>V1.0</w:t>
            </w:r>
          </w:p>
        </w:tc>
        <w:tc>
          <w:tcPr>
            <w:tcW w:w="1575"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napToGrid w:val="0"/>
                <w:color w:val="000000"/>
                <w:kern w:val="0"/>
                <w:sz w:val="20"/>
                <w:szCs w:val="20"/>
                <w:lang w:val="en-US" w:eastAsia="en-US" w:bidi="ar-SA"/>
              </w:rPr>
            </w:pPr>
            <w:r>
              <w:rPr>
                <w:rFonts w:ascii="宋体" w:eastAsia="宋体" w:hAnsi="宋体" w:cs="宋体"/>
                <w:spacing w:val="200"/>
                <w:kern w:val="0"/>
                <w:sz w:val="20"/>
                <w:szCs w:val="20"/>
              </w:rPr>
              <w:t>新</w:t>
            </w:r>
            <w:r>
              <w:rPr>
                <w:rFonts w:ascii="宋体" w:eastAsia="宋体" w:hAnsi="宋体" w:cs="宋体"/>
                <w:spacing w:val="0"/>
                <w:kern w:val="0"/>
                <w:sz w:val="20"/>
                <w:szCs w:val="20"/>
              </w:rPr>
              <w:t>建</w:t>
            </w:r>
          </w:p>
        </w:tc>
        <w:tc>
          <w:tcPr>
            <w:tcW w:w="1829"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napToGrid w:val="0"/>
                <w:color w:val="000000"/>
                <w:spacing w:val="200"/>
                <w:kern w:val="0"/>
                <w:sz w:val="20"/>
                <w:szCs w:val="20"/>
                <w:lang w:val="en-US" w:eastAsia="en-US" w:bidi="ar-SA"/>
              </w:rPr>
            </w:pPr>
            <w:r>
              <w:rPr>
                <w:rFonts w:asciiTheme="minorAscii" w:eastAsiaTheme="minorEastAsia" w:hAnsiTheme="minorAscii" w:hint="eastAsia"/>
                <w:spacing w:val="0"/>
                <w:kern w:val="0"/>
                <w:sz w:val="21"/>
                <w:vertAlign w:val="baseline"/>
                <w:lang w:val="en-US" w:eastAsia="zh-CN"/>
              </w:rPr>
              <w:t>李伟</w:t>
            </w:r>
          </w:p>
        </w:tc>
        <w:tc>
          <w:tcPr>
            <w:tcW w:w="1606"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napToGrid w:val="0"/>
                <w:color w:val="000000"/>
                <w:spacing w:val="200"/>
                <w:kern w:val="0"/>
                <w:sz w:val="20"/>
                <w:szCs w:val="20"/>
                <w:lang w:val="en-US" w:eastAsia="en-US" w:bidi="ar-SA"/>
              </w:rPr>
            </w:pPr>
            <w:r>
              <w:rPr>
                <w:rFonts w:asciiTheme="minorAscii" w:eastAsiaTheme="minorEastAsia" w:hAnsiTheme="minorAscii" w:hint="eastAsia"/>
                <w:spacing w:val="0"/>
                <w:kern w:val="0"/>
                <w:sz w:val="21"/>
                <w:vertAlign w:val="baseline"/>
                <w:lang w:val="en-US" w:eastAsia="zh-CN"/>
              </w:rPr>
              <w:t>陈凯</w:t>
            </w:r>
          </w:p>
        </w:tc>
        <w:tc>
          <w:tcPr>
            <w:tcW w:w="915"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napToGrid w:val="0"/>
                <w:color w:val="000000"/>
                <w:kern w:val="0"/>
                <w:sz w:val="20"/>
                <w:szCs w:val="20"/>
                <w:lang w:val="en-US" w:eastAsia="en-US" w:bidi="ar-SA"/>
              </w:rPr>
            </w:pPr>
            <w:r>
              <w:rPr>
                <w:rFonts w:asciiTheme="minorAscii" w:eastAsiaTheme="minorEastAsia" w:hAnsiTheme="minorAscii" w:hint="eastAsia"/>
                <w:spacing w:val="0"/>
                <w:kern w:val="0"/>
                <w:sz w:val="21"/>
                <w:vertAlign w:val="baseline"/>
                <w:lang w:val="en-US" w:eastAsia="zh-CN"/>
              </w:rPr>
              <w:t>吴亚红</w:t>
            </w:r>
          </w:p>
        </w:tc>
      </w:tr>
      <w:tr>
        <w:tblPrEx>
          <w:tblW w:w="8214" w:type="dxa"/>
          <w:jc w:val="center"/>
          <w:tblLayout w:type="fixed"/>
          <w:tblCellMar>
            <w:top w:w="0" w:type="dxa"/>
            <w:left w:w="0" w:type="dxa"/>
            <w:bottom w:w="0" w:type="dxa"/>
            <w:right w:w="0" w:type="dxa"/>
          </w:tblCellMar>
        </w:tblPrEx>
        <w:trPr>
          <w:trHeight w:val="556"/>
          <w:jc w:val="center"/>
        </w:trPr>
        <w:tc>
          <w:tcPr>
            <w:tcW w:w="1317" w:type="dxa"/>
          </w:tcPr>
          <w:p>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right="0" w:firstLine="0" w:leftChars="0" w:rightChars="0" w:firstLineChars="0"/>
              <w:jc w:val="center"/>
              <w:textAlignment w:val="baseline"/>
            </w:pPr>
            <w:bookmarkEnd w:id="2"/>
          </w:p>
        </w:tc>
        <w:tc>
          <w:tcPr>
            <w:tcW w:w="972" w:type="dxa"/>
          </w:tcPr>
          <w:p>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right="0" w:firstLine="0" w:leftChars="0" w:rightChars="0" w:firstLineChars="0"/>
              <w:jc w:val="center"/>
              <w:textAlignment w:val="baseline"/>
            </w:pPr>
          </w:p>
        </w:tc>
        <w:tc>
          <w:tcPr>
            <w:tcW w:w="1575" w:type="dxa"/>
          </w:tcPr>
          <w:p>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right="0" w:firstLine="0" w:leftChars="0" w:rightChars="0" w:firstLineChars="0"/>
              <w:jc w:val="center"/>
              <w:textAlignment w:val="baseline"/>
              <w:rPr>
                <w:rFonts w:eastAsia="宋体" w:hint="default"/>
                <w:lang w:val="en-US" w:eastAsia="zh-CN"/>
              </w:rPr>
            </w:pPr>
          </w:p>
        </w:tc>
        <w:tc>
          <w:tcPr>
            <w:tcW w:w="1829" w:type="dxa"/>
          </w:tcPr>
          <w:p>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right="0" w:firstLine="0" w:leftChars="0" w:rightChars="0" w:firstLineChars="0"/>
              <w:jc w:val="center"/>
              <w:textAlignment w:val="baseline"/>
            </w:pPr>
          </w:p>
        </w:tc>
        <w:tc>
          <w:tcPr>
            <w:tcW w:w="1606" w:type="dxa"/>
          </w:tcPr>
          <w:p>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right="0" w:firstLine="0" w:leftChars="0" w:rightChars="0" w:firstLineChars="0"/>
              <w:jc w:val="center"/>
              <w:textAlignment w:val="baseline"/>
            </w:pPr>
          </w:p>
        </w:tc>
        <w:tc>
          <w:tcPr>
            <w:tcW w:w="915" w:type="dxa"/>
          </w:tcPr>
          <w:p>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right="0" w:firstLine="0" w:leftChars="0" w:rightChars="0" w:firstLineChars="0"/>
              <w:jc w:val="center"/>
              <w:textAlignment w:val="baseline"/>
            </w:pPr>
          </w:p>
        </w:tc>
      </w:tr>
      <w:tr>
        <w:tblPrEx>
          <w:tblW w:w="8214" w:type="dxa"/>
          <w:jc w:val="center"/>
          <w:tblLayout w:type="fixed"/>
          <w:tblCellMar>
            <w:top w:w="0" w:type="dxa"/>
            <w:left w:w="0" w:type="dxa"/>
            <w:bottom w:w="0" w:type="dxa"/>
            <w:right w:w="0" w:type="dxa"/>
          </w:tblCellMar>
        </w:tblPrEx>
        <w:trPr>
          <w:trHeight w:val="556"/>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8214" w:type="dxa"/>
          <w:jc w:val="center"/>
          <w:tblLayout w:type="fixed"/>
          <w:tblCellMar>
            <w:top w:w="0" w:type="dxa"/>
            <w:left w:w="0" w:type="dxa"/>
            <w:bottom w:w="0" w:type="dxa"/>
            <w:right w:w="0" w:type="dxa"/>
          </w:tblCellMar>
        </w:tblPrEx>
        <w:trPr>
          <w:trHeight w:val="557"/>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bl>
    <w:p>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rPr>
              <w:rFonts w:ascii="宋体" w:eastAsia="宋体" w:hAnsi="宋体" w:cs="宋体" w:hint="eastAsia"/>
              <w:sz w:val="24"/>
              <w:szCs w:val="24"/>
            </w:rPr>
          </w:pPr>
          <w:r>
            <w:rPr>
              <w:rFonts w:ascii="宋体" w:eastAsia="宋体" w:hAnsi="宋体" w:cs="宋体" w:hint="eastAsia"/>
              <w:sz w:val="24"/>
              <w:szCs w:val="24"/>
            </w:rPr>
            <w:t>目录</w:t>
          </w:r>
        </w:p>
        <w:p>
          <w:pPr>
            <w:pStyle w:val="TOC1"/>
            <w:tabs>
              <w:tab w:val="right" w:leader="dot" w:pos="8306"/>
            </w:tabs>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_Toc23638 </w:instrText>
          </w:r>
          <w:r>
            <w:rPr>
              <w:rFonts w:ascii="宋体" w:eastAsia="宋体" w:hAnsi="宋体" w:cs="宋体" w:hint="eastAsia"/>
              <w:szCs w:val="24"/>
            </w:rPr>
            <w:fldChar w:fldCharType="separate"/>
          </w:r>
          <w:r>
            <w:rPr>
              <w:rFonts w:hint="eastAsia"/>
              <w:lang w:val="en-US" w:eastAsia="zh-CN"/>
            </w:rPr>
            <w:t>桐乡华数广电网络有限公司</w:t>
          </w:r>
          <w:r>
            <w:tab/>
          </w:r>
          <w:r>
            <w:fldChar w:fldCharType="begin"/>
          </w:r>
          <w:r>
            <w:instrText xml:space="preserve"> PAGEREF _Toc23638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_Toc18548 </w:instrText>
          </w:r>
          <w:r>
            <w:rPr>
              <w:rFonts w:ascii="宋体" w:eastAsia="宋体" w:hAnsi="宋体" w:cs="宋体" w:hint="eastAsia"/>
              <w:szCs w:val="24"/>
            </w:rPr>
            <w:fldChar w:fldCharType="separate"/>
          </w:r>
          <w:r>
            <w:rPr>
              <w:rFonts w:hint="eastAsia"/>
              <w:lang w:val="en-US" w:eastAsia="zh-CN"/>
            </w:rPr>
            <w:t>运维服务内审管理制度</w:t>
          </w:r>
          <w:r>
            <w:tab/>
          </w:r>
          <w:r>
            <w:fldChar w:fldCharType="begin"/>
          </w:r>
          <w:r>
            <w:instrText xml:space="preserve"> PAGEREF _Toc18548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_Toc30694 </w:instrText>
          </w:r>
          <w:r>
            <w:rPr>
              <w:rFonts w:ascii="宋体" w:eastAsia="宋体" w:hAnsi="宋体" w:cs="宋体" w:hint="eastAsia"/>
              <w:szCs w:val="24"/>
            </w:rPr>
            <w:fldChar w:fldCharType="separate"/>
          </w:r>
          <w:r>
            <w:rPr>
              <w:rFonts w:hint="default"/>
              <w:lang w:val="en-US" w:eastAsia="zh-CN"/>
            </w:rPr>
            <w:t>1. 目的</w:t>
          </w:r>
          <w:r>
            <w:tab/>
          </w:r>
          <w:r>
            <w:fldChar w:fldCharType="begin"/>
          </w:r>
          <w:r>
            <w:instrText xml:space="preserve"> PAGEREF _Toc30694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_Toc19933 </w:instrText>
          </w:r>
          <w:r>
            <w:rPr>
              <w:rFonts w:ascii="宋体" w:eastAsia="宋体" w:hAnsi="宋体" w:cs="宋体" w:hint="eastAsia"/>
              <w:szCs w:val="24"/>
            </w:rPr>
            <w:fldChar w:fldCharType="separate"/>
          </w:r>
          <w:r>
            <w:rPr>
              <w:rFonts w:hint="default"/>
              <w:lang w:val="en-US" w:eastAsia="zh-CN"/>
            </w:rPr>
            <w:t>2. 适用范围</w:t>
          </w:r>
          <w:r>
            <w:tab/>
          </w:r>
          <w:r>
            <w:fldChar w:fldCharType="begin"/>
          </w:r>
          <w:r>
            <w:instrText xml:space="preserve"> PAGEREF _Toc19933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_Toc8196 </w:instrText>
          </w:r>
          <w:r>
            <w:rPr>
              <w:rFonts w:ascii="宋体" w:eastAsia="宋体" w:hAnsi="宋体" w:cs="宋体" w:hint="eastAsia"/>
              <w:szCs w:val="24"/>
            </w:rPr>
            <w:fldChar w:fldCharType="separate"/>
          </w:r>
          <w:r>
            <w:rPr>
              <w:rFonts w:hint="default"/>
              <w:lang w:val="en-US" w:eastAsia="zh-CN"/>
            </w:rPr>
            <w:t>3. 职责</w:t>
          </w:r>
          <w:r>
            <w:tab/>
          </w:r>
          <w:r>
            <w:fldChar w:fldCharType="begin"/>
          </w:r>
          <w:r>
            <w:instrText xml:space="preserve"> PAGEREF _Toc8196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_Toc27288 </w:instrText>
          </w:r>
          <w:r>
            <w:rPr>
              <w:rFonts w:ascii="宋体" w:eastAsia="宋体" w:hAnsi="宋体" w:cs="宋体" w:hint="eastAsia"/>
              <w:szCs w:val="24"/>
            </w:rPr>
            <w:fldChar w:fldCharType="separate"/>
          </w:r>
          <w:r>
            <w:rPr>
              <w:rFonts w:hint="default"/>
              <w:lang w:val="en-US" w:eastAsia="zh-CN"/>
            </w:rPr>
            <w:t>3.1. 质量管理部</w:t>
          </w:r>
          <w:r>
            <w:tab/>
          </w:r>
          <w:r>
            <w:fldChar w:fldCharType="begin"/>
          </w:r>
          <w:r>
            <w:instrText xml:space="preserve"> PAGEREF _Toc27288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_Toc20534 </w:instrText>
          </w:r>
          <w:r>
            <w:rPr>
              <w:rFonts w:ascii="宋体" w:eastAsia="宋体" w:hAnsi="宋体" w:cs="宋体" w:hint="eastAsia"/>
              <w:szCs w:val="24"/>
            </w:rPr>
            <w:fldChar w:fldCharType="separate"/>
          </w:r>
          <w:r>
            <w:rPr>
              <w:rFonts w:hint="default"/>
              <w:lang w:val="en-US" w:eastAsia="zh-CN"/>
            </w:rPr>
            <w:t>3.2. 审核组长</w:t>
          </w:r>
          <w:r>
            <w:tab/>
          </w:r>
          <w:r>
            <w:fldChar w:fldCharType="begin"/>
          </w:r>
          <w:r>
            <w:instrText xml:space="preserve"> PAGEREF _Toc20534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_Toc30205 </w:instrText>
          </w:r>
          <w:r>
            <w:rPr>
              <w:rFonts w:ascii="宋体" w:eastAsia="宋体" w:hAnsi="宋体" w:cs="宋体" w:hint="eastAsia"/>
              <w:szCs w:val="24"/>
            </w:rPr>
            <w:fldChar w:fldCharType="separate"/>
          </w:r>
          <w:r>
            <w:rPr>
              <w:rFonts w:hint="default"/>
              <w:lang w:val="en-US" w:eastAsia="zh-CN"/>
            </w:rPr>
            <w:t>3.3. 内审员</w:t>
          </w:r>
          <w:r>
            <w:tab/>
          </w:r>
          <w:r>
            <w:fldChar w:fldCharType="begin"/>
          </w:r>
          <w:r>
            <w:instrText xml:space="preserve"> PAGEREF _Toc30205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_Toc19633 </w:instrText>
          </w:r>
          <w:r>
            <w:rPr>
              <w:rFonts w:ascii="宋体" w:eastAsia="宋体" w:hAnsi="宋体" w:cs="宋体" w:hint="eastAsia"/>
              <w:szCs w:val="24"/>
            </w:rPr>
            <w:fldChar w:fldCharType="separate"/>
          </w:r>
          <w:r>
            <w:rPr>
              <w:rFonts w:hint="default"/>
              <w:lang w:val="en-US" w:eastAsia="zh-CN"/>
            </w:rPr>
            <w:t>3.4. 受审核部门</w:t>
          </w:r>
          <w:r>
            <w:tab/>
          </w:r>
          <w:r>
            <w:fldChar w:fldCharType="begin"/>
          </w:r>
          <w:r>
            <w:instrText xml:space="preserve"> PAGEREF _Toc19633 \h </w:instrText>
          </w:r>
          <w:r>
            <w:fldChar w:fldCharType="separate"/>
          </w:r>
          <w:r>
            <w:t>5</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_Toc19624 </w:instrText>
          </w:r>
          <w:r>
            <w:rPr>
              <w:rFonts w:ascii="宋体" w:eastAsia="宋体" w:hAnsi="宋体" w:cs="宋体" w:hint="eastAsia"/>
              <w:szCs w:val="24"/>
            </w:rPr>
            <w:fldChar w:fldCharType="separate"/>
          </w:r>
          <w:r>
            <w:rPr>
              <w:rFonts w:hint="default"/>
              <w:lang w:val="en-US" w:eastAsia="zh-CN"/>
            </w:rPr>
            <w:t>4. 工作程序</w:t>
          </w:r>
          <w:r>
            <w:tab/>
          </w:r>
          <w:r>
            <w:fldChar w:fldCharType="begin"/>
          </w:r>
          <w:r>
            <w:instrText xml:space="preserve"> PAGEREF _Toc19624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_Toc27639 </w:instrText>
          </w:r>
          <w:r>
            <w:rPr>
              <w:rFonts w:ascii="宋体" w:eastAsia="宋体" w:hAnsi="宋体" w:cs="宋体" w:hint="eastAsia"/>
              <w:szCs w:val="24"/>
            </w:rPr>
            <w:fldChar w:fldCharType="separate"/>
          </w:r>
          <w:r>
            <w:rPr>
              <w:rFonts w:hint="default"/>
              <w:lang w:val="en-US" w:eastAsia="zh-CN"/>
            </w:rPr>
            <w:t>4.1. 审核频次与时机</w:t>
          </w:r>
          <w:r>
            <w:tab/>
          </w:r>
          <w:r>
            <w:fldChar w:fldCharType="begin"/>
          </w:r>
          <w:r>
            <w:instrText xml:space="preserve"> PAGEREF _Toc27639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_Toc28192 </w:instrText>
          </w:r>
          <w:r>
            <w:rPr>
              <w:rFonts w:ascii="宋体" w:eastAsia="宋体" w:hAnsi="宋体" w:cs="宋体" w:hint="eastAsia"/>
              <w:szCs w:val="24"/>
            </w:rPr>
            <w:fldChar w:fldCharType="separate"/>
          </w:r>
          <w:r>
            <w:rPr>
              <w:rFonts w:hint="default"/>
              <w:lang w:val="en-US" w:eastAsia="zh-CN"/>
            </w:rPr>
            <w:t>4.2. 审核策划</w:t>
          </w:r>
          <w:r>
            <w:tab/>
          </w:r>
          <w:r>
            <w:fldChar w:fldCharType="begin"/>
          </w:r>
          <w:r>
            <w:instrText xml:space="preserve"> PAGEREF _Toc28192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_Toc20054 </w:instrText>
          </w:r>
          <w:r>
            <w:rPr>
              <w:rFonts w:ascii="宋体" w:eastAsia="宋体" w:hAnsi="宋体" w:cs="宋体" w:hint="eastAsia"/>
              <w:szCs w:val="24"/>
            </w:rPr>
            <w:fldChar w:fldCharType="separate"/>
          </w:r>
          <w:r>
            <w:rPr>
              <w:rFonts w:hint="default"/>
              <w:lang w:val="en-US" w:eastAsia="zh-CN"/>
            </w:rPr>
            <w:t>4.3. 审核准备</w:t>
          </w:r>
          <w:r>
            <w:tab/>
          </w:r>
          <w:r>
            <w:fldChar w:fldCharType="begin"/>
          </w:r>
          <w:r>
            <w:instrText xml:space="preserve"> PAGEREF _Toc20054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_Toc9425 </w:instrText>
          </w:r>
          <w:r>
            <w:rPr>
              <w:rFonts w:ascii="宋体" w:eastAsia="宋体" w:hAnsi="宋体" w:cs="宋体" w:hint="eastAsia"/>
              <w:szCs w:val="24"/>
            </w:rPr>
            <w:fldChar w:fldCharType="separate"/>
          </w:r>
          <w:r>
            <w:rPr>
              <w:rFonts w:hint="default"/>
              <w:lang w:val="en-US" w:eastAsia="zh-CN"/>
            </w:rPr>
            <w:t>4.4. 审核实施</w:t>
          </w:r>
          <w:r>
            <w:tab/>
          </w:r>
          <w:r>
            <w:fldChar w:fldCharType="begin"/>
          </w:r>
          <w:r>
            <w:instrText xml:space="preserve"> PAGEREF _Toc9425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_Toc31354 </w:instrText>
          </w:r>
          <w:r>
            <w:rPr>
              <w:rFonts w:ascii="宋体" w:eastAsia="宋体" w:hAnsi="宋体" w:cs="宋体" w:hint="eastAsia"/>
              <w:szCs w:val="24"/>
            </w:rPr>
            <w:fldChar w:fldCharType="separate"/>
          </w:r>
          <w:r>
            <w:rPr>
              <w:rFonts w:hint="default"/>
              <w:lang w:val="en-US" w:eastAsia="zh-CN"/>
            </w:rPr>
            <w:t>4.5. 审核报告与总结</w:t>
          </w:r>
          <w:r>
            <w:tab/>
          </w:r>
          <w:r>
            <w:fldChar w:fldCharType="begin"/>
          </w:r>
          <w:r>
            <w:instrText xml:space="preserve"> PAGEREF _Toc31354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_Toc29410 </w:instrText>
          </w:r>
          <w:r>
            <w:rPr>
              <w:rFonts w:ascii="宋体" w:eastAsia="宋体" w:hAnsi="宋体" w:cs="宋体" w:hint="eastAsia"/>
              <w:szCs w:val="24"/>
            </w:rPr>
            <w:fldChar w:fldCharType="separate"/>
          </w:r>
          <w:r>
            <w:rPr>
              <w:rFonts w:hint="default"/>
              <w:lang w:val="en-US" w:eastAsia="zh-CN"/>
            </w:rPr>
            <w:t>4.6. 纠正措施与跟踪验证</w:t>
          </w:r>
          <w:r>
            <w:tab/>
          </w:r>
          <w:r>
            <w:fldChar w:fldCharType="begin"/>
          </w:r>
          <w:r>
            <w:instrText xml:space="preserve"> PAGEREF _Toc29410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_Toc20335 </w:instrText>
          </w:r>
          <w:r>
            <w:rPr>
              <w:rFonts w:ascii="宋体" w:eastAsia="宋体" w:hAnsi="宋体" w:cs="宋体" w:hint="eastAsia"/>
              <w:szCs w:val="24"/>
            </w:rPr>
            <w:fldChar w:fldCharType="separate"/>
          </w:r>
          <w:r>
            <w:rPr>
              <w:rFonts w:hint="default"/>
              <w:lang w:val="en-US" w:eastAsia="zh-CN"/>
            </w:rPr>
            <w:t>4.7. 记录与档案</w:t>
          </w:r>
          <w:r>
            <w:tab/>
          </w:r>
          <w:r>
            <w:fldChar w:fldCharType="begin"/>
          </w:r>
          <w:r>
            <w:instrText xml:space="preserve"> PAGEREF _Toc20335 \h </w:instrText>
          </w:r>
          <w:r>
            <w:fldChar w:fldCharType="separate"/>
          </w:r>
          <w:r>
            <w:t>7</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_Toc4780 </w:instrText>
          </w:r>
          <w:r>
            <w:rPr>
              <w:rFonts w:ascii="宋体" w:eastAsia="宋体" w:hAnsi="宋体" w:cs="宋体" w:hint="eastAsia"/>
              <w:szCs w:val="24"/>
            </w:rPr>
            <w:fldChar w:fldCharType="separate"/>
          </w:r>
          <w:r>
            <w:rPr>
              <w:rFonts w:hint="default"/>
              <w:lang w:val="en-US" w:eastAsia="zh-CN"/>
            </w:rPr>
            <w:t xml:space="preserve">5. </w:t>
          </w:r>
          <w:r>
            <w:rPr>
              <w:rFonts w:hint="eastAsia"/>
              <w:lang w:val="en-US" w:eastAsia="zh-CN"/>
            </w:rPr>
            <w:t>考核指标</w:t>
          </w:r>
          <w:r>
            <w:tab/>
          </w:r>
          <w:r>
            <w:fldChar w:fldCharType="begin"/>
          </w:r>
          <w:r>
            <w:instrText xml:space="preserve"> PAGEREF _Toc4780 \h </w:instrText>
          </w:r>
          <w:r>
            <w:fldChar w:fldCharType="separate"/>
          </w:r>
          <w:r>
            <w:t>7</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_Toc32704 </w:instrText>
          </w:r>
          <w:r>
            <w:rPr>
              <w:rFonts w:ascii="宋体" w:eastAsia="宋体" w:hAnsi="宋体" w:cs="宋体" w:hint="eastAsia"/>
              <w:szCs w:val="24"/>
            </w:rPr>
            <w:fldChar w:fldCharType="separate"/>
          </w:r>
          <w:r>
            <w:rPr>
              <w:rFonts w:hint="default"/>
              <w:lang w:val="en-US" w:eastAsia="zh-CN"/>
            </w:rPr>
            <w:t>6. 附则</w:t>
          </w:r>
          <w:r>
            <w:tab/>
          </w:r>
          <w:r>
            <w:fldChar w:fldCharType="begin"/>
          </w:r>
          <w:r>
            <w:instrText xml:space="preserve"> PAGEREF _Toc32704 \h </w:instrText>
          </w:r>
          <w:r>
            <w:fldChar w:fldCharType="separate"/>
          </w:r>
          <w:r>
            <w:t>7</w:t>
          </w:r>
          <w:r>
            <w:fldChar w:fldCharType="end"/>
          </w:r>
          <w:r>
            <w:rPr>
              <w:rFonts w:ascii="宋体" w:eastAsia="宋体" w:hAnsi="宋体" w:cs="宋体" w:hint="eastAsia"/>
              <w:szCs w:val="24"/>
            </w:rPr>
            <w:fldChar w:fldCharType="end"/>
          </w:r>
        </w:p>
        <w:p>
          <w:pPr>
            <w:keepNext w:val="0"/>
            <w:keepLines w:val="0"/>
            <w:pageBreakBefore w:val="0"/>
            <w:widowControl w:val="0"/>
            <w:kinsoku w:val="0"/>
            <w:wordWrap/>
            <w:overflowPunct/>
            <w:autoSpaceDE w:val="0"/>
            <w:autoSpaceDN w:val="0"/>
            <w:bidi w:val="0"/>
            <w:adjustRightInd w:val="0"/>
            <w:snapToGrid w:val="0"/>
            <w:textAlignment w:val="baseline"/>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snapToGrid w:val="0"/>
          <w:color w:val="000000"/>
          <w:kern w:val="0"/>
          <w:sz w:val="21"/>
          <w:szCs w:val="21"/>
          <w:lang w:val="en-US" w:eastAsia="en-US" w:bidi="ar-SA"/>
        </w:rPr>
      </w:pPr>
      <w:r>
        <w:rPr>
          <w:rFonts w:ascii="Arial" w:eastAsia="Arial" w:hAnsi="Arial" w:cs="Arial"/>
          <w:snapToGrid w:val="0"/>
          <w:color w:val="000000"/>
          <w:kern w:val="0"/>
          <w:sz w:val="21"/>
          <w:szCs w:val="21"/>
          <w:lang w:val="en-US" w:eastAsia="en-US" w:bidi="ar-SA"/>
        </w:rPr>
        <w:br w:type="page"/>
      </w:r>
    </w:p>
    <w:p>
      <w:pPr>
        <w:pStyle w:val="1"/>
        <w:bidi w:val="0"/>
        <w:rPr>
          <w:rFonts w:hint="default"/>
          <w:lang w:val="en-US" w:eastAsia="zh-CN"/>
        </w:rPr>
      </w:pPr>
      <w:bookmarkStart w:id="3" w:name="_Toc30694"/>
      <w:r>
        <w:rPr>
          <w:rFonts w:hint="default"/>
          <w:lang w:val="en-US" w:eastAsia="zh-CN"/>
        </w:rPr>
        <w:t>目的</w:t>
      </w:r>
      <w:bookmarkEnd w:id="3"/>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为验证并确保公司运维服务质量管理体系（以下简称“体系”）持续满足国家标准、行业要求及公司内部规定，并得到有效实施与保持，通过系统、独立、客观的审核活动，发现问题、推动改进，特制定本制度。</w:t>
      </w:r>
    </w:p>
    <w:p>
      <w:pPr>
        <w:pStyle w:val="1"/>
        <w:bidi w:val="0"/>
        <w:rPr>
          <w:rFonts w:hint="default"/>
          <w:lang w:val="en-US" w:eastAsia="zh-CN"/>
        </w:rPr>
      </w:pPr>
      <w:bookmarkStart w:id="4" w:name="_Toc19933"/>
      <w:r>
        <w:rPr>
          <w:rFonts w:hint="default"/>
          <w:lang w:val="en-US" w:eastAsia="zh-CN"/>
        </w:rPr>
        <w:t>适用范围</w:t>
      </w:r>
      <w:bookmarkEnd w:id="4"/>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本制度适用于公司范围内所有与运维服务相关的质量管理体系内部审核活动。</w:t>
      </w:r>
    </w:p>
    <w:p>
      <w:pPr>
        <w:pStyle w:val="1"/>
        <w:bidi w:val="0"/>
        <w:rPr>
          <w:rFonts w:hint="default"/>
          <w:lang w:val="en-US" w:eastAsia="zh-CN"/>
        </w:rPr>
      </w:pPr>
      <w:bookmarkStart w:id="5" w:name="_Toc8196"/>
      <w:r>
        <w:rPr>
          <w:rFonts w:hint="default"/>
          <w:lang w:val="en-US" w:eastAsia="zh-CN"/>
        </w:rPr>
        <w:t>职责</w:t>
      </w:r>
      <w:bookmarkEnd w:id="5"/>
    </w:p>
    <w:p>
      <w:pPr>
        <w:pStyle w:val="2"/>
        <w:bidi w:val="0"/>
        <w:rPr>
          <w:rFonts w:hint="default"/>
          <w:lang w:val="en-US" w:eastAsia="zh-CN"/>
        </w:rPr>
      </w:pPr>
      <w:bookmarkStart w:id="6" w:name="_Toc27288"/>
      <w:r>
        <w:rPr>
          <w:rFonts w:hint="default"/>
          <w:lang w:val="en-US" w:eastAsia="zh-CN"/>
        </w:rPr>
        <w:t>质量管理部</w:t>
      </w:r>
      <w:bookmarkEnd w:id="6"/>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作为内部审核的归口管理部门，负责组织策划年度内审活动。</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负责组建内审组，提名并任命审核组长。</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负责组织编制、发布《年度内部审核计划》。</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负责保管所有内审活动产生的记录和档案。</w:t>
      </w:r>
    </w:p>
    <w:p>
      <w:pPr>
        <w:pStyle w:val="2"/>
        <w:bidi w:val="0"/>
        <w:rPr>
          <w:rFonts w:hint="default"/>
          <w:lang w:val="en-US" w:eastAsia="zh-CN"/>
        </w:rPr>
      </w:pPr>
      <w:bookmarkStart w:id="7" w:name="_Toc20534"/>
      <w:r>
        <w:rPr>
          <w:rFonts w:hint="default"/>
          <w:lang w:val="en-US" w:eastAsia="zh-CN"/>
        </w:rPr>
        <w:t>审核组长</w:t>
      </w:r>
      <w:bookmarkEnd w:id="7"/>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通常由质量管理部经理或其指定人员担任。</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负责编制具体的《内部审核实施计划》和《内部审核检查表》。</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负责组织并主持内审的全过程，包括首次会议、现场审核、末次会议。</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负责编写《内部审核报告》，并对审核结论的准确性负责。</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负责组织对不符合项纠正措施落实情况的跟踪验证。</w:t>
      </w:r>
    </w:p>
    <w:p>
      <w:pPr>
        <w:pStyle w:val="2"/>
        <w:bidi w:val="0"/>
        <w:rPr>
          <w:rFonts w:hint="default"/>
          <w:lang w:val="en-US" w:eastAsia="zh-CN"/>
        </w:rPr>
      </w:pPr>
      <w:bookmarkStart w:id="8" w:name="_Toc30205"/>
      <w:r>
        <w:rPr>
          <w:rFonts w:hint="default"/>
          <w:lang w:val="en-US" w:eastAsia="zh-CN"/>
        </w:rPr>
        <w:t>内审员</w:t>
      </w:r>
      <w:bookmarkEnd w:id="8"/>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由经培训合格并取得资格的公司员工担任。</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在审核组长领导下，按计划完成分配的审核任务。</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客观、公正地收集审核证据，记录审核发现。</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协助编写不符合项报告，参与纠正措施的验证。</w:t>
      </w:r>
    </w:p>
    <w:p>
      <w:pPr>
        <w:pStyle w:val="2"/>
        <w:bidi w:val="0"/>
        <w:rPr>
          <w:rFonts w:hint="default"/>
          <w:lang w:val="en-US" w:eastAsia="zh-CN"/>
        </w:rPr>
      </w:pPr>
      <w:bookmarkStart w:id="9" w:name="_Toc19633"/>
      <w:r>
        <w:rPr>
          <w:rFonts w:hint="default"/>
          <w:lang w:val="en-US" w:eastAsia="zh-CN"/>
        </w:rPr>
        <w:t>受审核部门</w:t>
      </w:r>
      <w:bookmarkEnd w:id="9"/>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指定联络人，积极配合内审工作。</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提供审核所需资源，确保审核顺利进行。</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确认审核发现的事实，针对不符合项分析原因并制定、实施纠正措施。</w:t>
      </w:r>
    </w:p>
    <w:p>
      <w:pPr>
        <w:pStyle w:val="1"/>
        <w:bidi w:val="0"/>
        <w:rPr>
          <w:rFonts w:hint="default"/>
          <w:lang w:val="en-US" w:eastAsia="zh-CN"/>
        </w:rPr>
      </w:pPr>
      <w:bookmarkStart w:id="10" w:name="_Toc19624"/>
      <w:r>
        <w:rPr>
          <w:rFonts w:hint="default"/>
          <w:lang w:val="en-US" w:eastAsia="zh-CN"/>
        </w:rPr>
        <w:t>工作程序</w:t>
      </w:r>
      <w:bookmarkEnd w:id="10"/>
    </w:p>
    <w:p>
      <w:pPr>
        <w:pStyle w:val="2"/>
        <w:bidi w:val="0"/>
        <w:rPr>
          <w:rFonts w:hint="default"/>
          <w:lang w:val="en-US" w:eastAsia="zh-CN"/>
        </w:rPr>
      </w:pPr>
      <w:bookmarkStart w:id="11" w:name="_Toc27639"/>
      <w:r>
        <w:rPr>
          <w:rFonts w:hint="default"/>
          <w:lang w:val="en-US" w:eastAsia="zh-CN"/>
        </w:rPr>
        <w:t>审核频次与时机</w:t>
      </w:r>
      <w:bookmarkEnd w:id="11"/>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例行审核：公司每年至少组织一次覆盖全部相关部门和要素的完整内部审核，两次完整审核的时间间隔不超过12个月。</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追加审核：当出现以下情况时，由质量管理部提议，报公司领导批准后，可追加安排专项或局部审核：</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发生重大服务质量问题或客户严重投诉。</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组织机构、服务范围、技术环境发生重大变化。</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为应对外部认证或客户审核前。</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管理层认为有必要时。</w:t>
      </w:r>
    </w:p>
    <w:p>
      <w:pPr>
        <w:pStyle w:val="2"/>
        <w:bidi w:val="0"/>
        <w:rPr>
          <w:rFonts w:hint="default"/>
          <w:lang w:val="en-US" w:eastAsia="zh-CN"/>
        </w:rPr>
      </w:pPr>
      <w:bookmarkStart w:id="12" w:name="_Toc28192"/>
      <w:r>
        <w:rPr>
          <w:rFonts w:hint="default"/>
          <w:lang w:val="en-US" w:eastAsia="zh-CN"/>
        </w:rPr>
        <w:t>审核策划</w:t>
      </w:r>
      <w:bookmarkEnd w:id="12"/>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每年年初，质量管理部基于风险思维、过程绩效及以往审核结果，策划并编制《年度内部审核计划》，明确审核目的、范围、依据、频次及大致时间安排，报公司领导批准。</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每次具体审核前，审核组长需进行详细策划，编制《内部审核实施计划》，内容包括：审核目的、范围、依据、审核组成员及分工、受审核部门、审核日程、会议安排等。计划需提前通知受审核部门。</w:t>
      </w:r>
    </w:p>
    <w:p>
      <w:pPr>
        <w:pStyle w:val="2"/>
        <w:bidi w:val="0"/>
        <w:rPr>
          <w:rFonts w:hint="default"/>
          <w:lang w:val="en-US" w:eastAsia="zh-CN"/>
        </w:rPr>
      </w:pPr>
      <w:bookmarkStart w:id="13" w:name="_Toc20054"/>
      <w:r>
        <w:rPr>
          <w:rFonts w:hint="default"/>
          <w:lang w:val="en-US" w:eastAsia="zh-CN"/>
        </w:rPr>
        <w:t>审核准备</w:t>
      </w:r>
      <w:bookmarkEnd w:id="13"/>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组建审核组：审核组成员应具备相应资格，且确保审核员不审核自己所在的部门，以保证审核的独立性、客观性。</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编制检查表：审核组成员根据分工，依据审核准则和受审核部门的过程/文件，编制《内部审核检查表》，作为现场审核的提纲和记录工具。</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文件评审：审核组提前审阅受审核部门相关的体系文件，了解其要求。</w:t>
      </w:r>
    </w:p>
    <w:p>
      <w:pPr>
        <w:pStyle w:val="2"/>
        <w:bidi w:val="0"/>
        <w:rPr>
          <w:rFonts w:hint="default"/>
          <w:lang w:val="en-US" w:eastAsia="zh-CN"/>
        </w:rPr>
      </w:pPr>
      <w:bookmarkStart w:id="14" w:name="_Toc9425"/>
      <w:r>
        <w:rPr>
          <w:rFonts w:hint="default"/>
          <w:lang w:val="en-US" w:eastAsia="zh-CN"/>
        </w:rPr>
        <w:t>审核实施</w:t>
      </w:r>
      <w:bookmarkEnd w:id="14"/>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首次会议：</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由审核组长主持召开，公司领导、受审核部门负责人及审核组成员参加。会议明确审核计划、安排，确认沟通渠道。</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现场审核：</w:t>
      </w:r>
    </w:p>
    <w:p>
      <w:pPr>
        <w:pStyle w:val="a1"/>
        <w:keepNext w:val="0"/>
        <w:keepLines w:val="0"/>
        <w:pageBreakBefore w:val="0"/>
        <w:widowControl w:val="0"/>
        <w:numPr>
          <w:ilvl w:val="0"/>
          <w:numId w:val="2"/>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审核员通过访谈、观察、查阅文件和记录等方式，依据检查表收集客观证据。</w:t>
      </w:r>
    </w:p>
    <w:p>
      <w:pPr>
        <w:pStyle w:val="a1"/>
        <w:keepNext w:val="0"/>
        <w:keepLines w:val="0"/>
        <w:pageBreakBefore w:val="0"/>
        <w:widowControl w:val="0"/>
        <w:numPr>
          <w:ilvl w:val="0"/>
          <w:numId w:val="2"/>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审核发现应予以记录，并与受审核方现场确认。</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审核中发现的问题，按其严重程度分为：</w:t>
      </w:r>
    </w:p>
    <w:p>
      <w:pPr>
        <w:pStyle w:val="a1"/>
        <w:keepNext w:val="0"/>
        <w:keepLines w:val="0"/>
        <w:pageBreakBefore w:val="0"/>
        <w:widowControl w:val="0"/>
        <w:numPr>
          <w:ilvl w:val="0"/>
          <w:numId w:val="3"/>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严重不符合项：系统性或区域性失效；可能导致严重后果；重复发生且未有效纠正。</w:t>
      </w:r>
    </w:p>
    <w:p>
      <w:pPr>
        <w:pStyle w:val="a1"/>
        <w:keepNext w:val="0"/>
        <w:keepLines w:val="0"/>
        <w:pageBreakBefore w:val="0"/>
        <w:widowControl w:val="0"/>
        <w:numPr>
          <w:ilvl w:val="0"/>
          <w:numId w:val="3"/>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一般不符合项：孤立的、偶然的人为错误；对体系运行无重大影响。</w:t>
      </w:r>
    </w:p>
    <w:p>
      <w:pPr>
        <w:pStyle w:val="a1"/>
        <w:keepNext w:val="0"/>
        <w:keepLines w:val="0"/>
        <w:pageBreakBefore w:val="0"/>
        <w:widowControl w:val="0"/>
        <w:numPr>
          <w:ilvl w:val="0"/>
          <w:numId w:val="3"/>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观察项：潜在的问题或可改进的领域，尚未构成不符合，但需引起注意。</w:t>
      </w:r>
    </w:p>
    <w:p>
      <w:pPr>
        <w:pStyle w:val="a1"/>
        <w:keepNext w:val="0"/>
        <w:keepLines w:val="0"/>
        <w:pageBreakBefore w:val="0"/>
        <w:widowControl w:val="0"/>
        <w:numPr>
          <w:ilvl w:val="0"/>
          <w:numId w:val="3"/>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不符合项报告：对于确认的不符合项，审核员应填写《不符合项报告》，清晰描述事实，判定不符合的条款及类型，并由受审核部门负责人确认。</w:t>
      </w:r>
    </w:p>
    <w:p>
      <w:pPr>
        <w:pStyle w:val="2"/>
        <w:bidi w:val="0"/>
        <w:rPr>
          <w:rFonts w:hint="default"/>
          <w:lang w:val="en-US" w:eastAsia="zh-CN"/>
        </w:rPr>
      </w:pPr>
      <w:bookmarkStart w:id="15" w:name="_Toc31354"/>
      <w:r>
        <w:rPr>
          <w:rFonts w:hint="default"/>
          <w:lang w:val="en-US" w:eastAsia="zh-CN"/>
        </w:rPr>
        <w:t>审核报告与总结</w:t>
      </w:r>
      <w:bookmarkEnd w:id="15"/>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末次会议：现场审核结束后，审核组长主持召开末次会议，报告审核发现和结论，宣读不符合项报告。</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审核报告：审核结束后，审核组长编制《内部审核报告》，全面总结审核情况、不符合项分布、体系运行有效性评价及结论。报告经批准后分发至相关部门及公司领导。</w:t>
      </w:r>
    </w:p>
    <w:p>
      <w:pPr>
        <w:pStyle w:val="2"/>
        <w:bidi w:val="0"/>
        <w:rPr>
          <w:rFonts w:hint="default"/>
          <w:lang w:val="en-US" w:eastAsia="zh-CN"/>
        </w:rPr>
      </w:pPr>
      <w:bookmarkStart w:id="16" w:name="_Toc29410"/>
      <w:r>
        <w:rPr>
          <w:rFonts w:hint="default"/>
          <w:lang w:val="en-US" w:eastAsia="zh-CN"/>
        </w:rPr>
        <w:t>纠正措施与跟踪验证</w:t>
      </w:r>
      <w:bookmarkEnd w:id="16"/>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受审核部门在收到《不符合项报告》后，应分析根本原因，制定具体的纠正与预防措施及完成期限，并组织实施。</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审核组长或其指定的审核员（通常为质量管理专员）负责对纠正措施的实施情况进行跟踪验证，确保措施有效并已关闭。</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验证结果应记录。对于未能有效关闭的不符合项，应升级处理。</w:t>
      </w:r>
    </w:p>
    <w:p>
      <w:pPr>
        <w:pStyle w:val="2"/>
        <w:bidi w:val="0"/>
        <w:rPr>
          <w:rFonts w:hint="default"/>
          <w:lang w:val="en-US" w:eastAsia="zh-CN"/>
        </w:rPr>
      </w:pPr>
      <w:bookmarkStart w:id="17" w:name="_Toc20335"/>
      <w:r>
        <w:rPr>
          <w:rFonts w:hint="default"/>
          <w:lang w:val="en-US" w:eastAsia="zh-CN"/>
        </w:rPr>
        <w:t>记录与档案</w:t>
      </w:r>
      <w:bookmarkEnd w:id="17"/>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质量管理部负责保存内审全过程的记录，形成完整档案，至少包括：</w:t>
      </w:r>
    </w:p>
    <w:p>
      <w:pPr>
        <w:pStyle w:val="a1"/>
        <w:keepNext w:val="0"/>
        <w:keepLines w:val="0"/>
        <w:pageBreakBefore w:val="0"/>
        <w:widowControl w:val="0"/>
        <w:numPr>
          <w:ilvl w:val="0"/>
          <w:numId w:val="4"/>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《年度内部审核计划》</w:t>
      </w:r>
    </w:p>
    <w:p>
      <w:pPr>
        <w:pStyle w:val="a1"/>
        <w:keepNext w:val="0"/>
        <w:keepLines w:val="0"/>
        <w:pageBreakBefore w:val="0"/>
        <w:widowControl w:val="0"/>
        <w:numPr>
          <w:ilvl w:val="0"/>
          <w:numId w:val="4"/>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《内部审核实施计划》</w:t>
      </w:r>
    </w:p>
    <w:p>
      <w:pPr>
        <w:pStyle w:val="a1"/>
        <w:keepNext w:val="0"/>
        <w:keepLines w:val="0"/>
        <w:pageBreakBefore w:val="0"/>
        <w:widowControl w:val="0"/>
        <w:numPr>
          <w:ilvl w:val="0"/>
          <w:numId w:val="4"/>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《内部审核检查表》</w:t>
      </w:r>
    </w:p>
    <w:p>
      <w:pPr>
        <w:pStyle w:val="a1"/>
        <w:keepNext w:val="0"/>
        <w:keepLines w:val="0"/>
        <w:pageBreakBefore w:val="0"/>
        <w:widowControl w:val="0"/>
        <w:numPr>
          <w:ilvl w:val="0"/>
          <w:numId w:val="4"/>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《不符合项报告》</w:t>
      </w:r>
    </w:p>
    <w:p>
      <w:pPr>
        <w:pStyle w:val="a1"/>
        <w:keepNext w:val="0"/>
        <w:keepLines w:val="0"/>
        <w:pageBreakBefore w:val="0"/>
        <w:widowControl w:val="0"/>
        <w:numPr>
          <w:ilvl w:val="0"/>
          <w:numId w:val="4"/>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《内部审核报告》</w:t>
      </w:r>
    </w:p>
    <w:p>
      <w:pPr>
        <w:pStyle w:val="a1"/>
        <w:keepNext w:val="0"/>
        <w:keepLines w:val="0"/>
        <w:pageBreakBefore w:val="0"/>
        <w:widowControl w:val="0"/>
        <w:numPr>
          <w:ilvl w:val="0"/>
          <w:numId w:val="4"/>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《纠正措施跟踪验证记录》</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8" w:name="_Toc4780"/>
      <w:r>
        <w:rPr>
          <w:rFonts w:hint="eastAsia"/>
          <w:lang w:val="en-US" w:eastAsia="zh-CN"/>
        </w:rPr>
        <w:t>考核指标</w:t>
      </w:r>
      <w:bookmarkEnd w:id="18"/>
    </w:p>
    <w:tbl>
      <w:tblPr>
        <w:tblStyle w:val="TableNormal"/>
        <w:tblW w:w="7675" w:type="dxa"/>
        <w:tblInd w:w="96" w:type="dxa"/>
        <w:tblBorders>
          <w:top w:val="nil"/>
          <w:left w:val="nil"/>
          <w:bottom w:val="nil"/>
          <w:right w:val="nil"/>
          <w:insideH w:val="nil"/>
          <w:insideV w:val="nil"/>
        </w:tblBorders>
        <w:shd w:val="clear" w:color="auto" w:fill="auto"/>
        <w:tblCellMar>
          <w:top w:w="0" w:type="dxa"/>
          <w:left w:w="108" w:type="dxa"/>
          <w:bottom w:w="0" w:type="dxa"/>
          <w:right w:w="108" w:type="dxa"/>
        </w:tblCellMar>
      </w:tblPr>
      <w:tblGrid>
        <w:gridCol w:w="1663"/>
        <w:gridCol w:w="1152"/>
        <w:gridCol w:w="3552"/>
        <w:gridCol w:w="1308"/>
      </w:tblGrid>
      <w:tr>
        <w:tblPrEx>
          <w:tblW w:w="7675" w:type="dxa"/>
          <w:tblInd w:w="96" w:type="dxa"/>
          <w:tblBorders>
            <w:top w:val="nil"/>
            <w:left w:val="nil"/>
            <w:bottom w:val="nil"/>
            <w:right w:val="nil"/>
            <w:insideH w:val="nil"/>
            <w:insideV w:val="nil"/>
          </w:tblBorders>
          <w:shd w:val="clear" w:color="auto" w:fill="auto"/>
          <w:tblCellMar>
            <w:top w:w="0" w:type="dxa"/>
            <w:left w:w="108" w:type="dxa"/>
            <w:bottom w:w="0" w:type="dxa"/>
            <w:right w:w="108" w:type="dxa"/>
          </w:tblCellMar>
        </w:tblPrEx>
        <w:trPr>
          <w:trHeight w:val="493"/>
        </w:trPr>
        <w:tc>
          <w:tcPr>
            <w:tcW w:w="1663" w:type="dxa"/>
            <w:tcBorders>
              <w:top w:val="single" w:sz="4" w:space="0" w:color="000000"/>
              <w:left w:val="single" w:sz="4" w:space="0" w:color="000000"/>
              <w:bottom w:val="single" w:sz="4" w:space="0" w:color="000000"/>
              <w:right w:val="single" w:sz="4" w:space="0" w:color="000000"/>
            </w:tcBorders>
            <w:shd w:val="clear" w:color="auto" w:fill="C0C0C0"/>
            <w:vAlign w:val="center"/>
          </w:tcPr>
          <w:p>
            <w:pPr>
              <w:keepNext w:val="0"/>
              <w:keepLines w:val="0"/>
              <w:widowControl/>
              <w:suppressLineNumbers w:val="0"/>
              <w:jc w:val="center"/>
              <w:textAlignment w:val="center"/>
              <w:rPr>
                <w:rFonts w:ascii="楷体_GB2312" w:eastAsia="楷体_GB2312" w:hAnsi="宋体" w:cs="楷体_GB2312" w:hint="default"/>
                <w:b/>
                <w:bCs/>
                <w:i w:val="0"/>
                <w:iCs w:val="0"/>
                <w:color w:val="000000"/>
                <w:sz w:val="22"/>
                <w:szCs w:val="22"/>
                <w:u w:val="none"/>
              </w:rPr>
            </w:pPr>
            <w:r>
              <w:rPr>
                <w:rFonts w:ascii="楷体_GB2312" w:eastAsia="楷体_GB2312" w:hAnsi="宋体" w:cs="楷体_GB2312" w:hint="default"/>
                <w:b/>
                <w:bCs/>
                <w:i w:val="0"/>
                <w:iCs w:val="0"/>
                <w:snapToGrid w:val="0"/>
                <w:color w:val="000000"/>
                <w:kern w:val="0"/>
                <w:sz w:val="22"/>
                <w:szCs w:val="22"/>
                <w:u w:val="none"/>
                <w:lang w:val="en-US" w:eastAsia="zh-CN"/>
              </w:rPr>
              <w:t>KPI</w:t>
            </w:r>
          </w:p>
        </w:tc>
        <w:tc>
          <w:tcPr>
            <w:tcW w:w="1152" w:type="dxa"/>
            <w:tcBorders>
              <w:top w:val="single" w:sz="4" w:space="0" w:color="000000"/>
              <w:left w:val="single" w:sz="4" w:space="0" w:color="000000"/>
              <w:bottom w:val="single" w:sz="4" w:space="0" w:color="000000"/>
              <w:right w:val="single" w:sz="4" w:space="0" w:color="000000"/>
            </w:tcBorders>
            <w:shd w:val="clear" w:color="auto" w:fill="C0C0C0"/>
            <w:vAlign w:val="center"/>
          </w:tcPr>
          <w:p>
            <w:pPr>
              <w:keepNext w:val="0"/>
              <w:keepLines w:val="0"/>
              <w:widowControl/>
              <w:suppressLineNumbers w:val="0"/>
              <w:jc w:val="center"/>
              <w:textAlignment w:val="center"/>
              <w:rPr>
                <w:rFonts w:ascii="楷体_GB2312" w:eastAsia="楷体_GB2312" w:hAnsi="宋体" w:cs="楷体_GB2312" w:hint="default"/>
                <w:b/>
                <w:bCs/>
                <w:i w:val="0"/>
                <w:iCs w:val="0"/>
                <w:color w:val="000000"/>
                <w:sz w:val="22"/>
                <w:szCs w:val="22"/>
                <w:u w:val="none"/>
              </w:rPr>
            </w:pPr>
            <w:r>
              <w:rPr>
                <w:rFonts w:ascii="楷体_GB2312" w:eastAsia="楷体_GB2312" w:hAnsi="宋体" w:cs="楷体_GB2312" w:hint="default"/>
                <w:b/>
                <w:bCs/>
                <w:i w:val="0"/>
                <w:iCs w:val="0"/>
                <w:snapToGrid w:val="0"/>
                <w:color w:val="000000"/>
                <w:kern w:val="0"/>
                <w:sz w:val="22"/>
                <w:szCs w:val="22"/>
                <w:u w:val="none"/>
                <w:lang w:val="en-US" w:eastAsia="zh-CN"/>
              </w:rPr>
              <w:t>目标值</w:t>
            </w:r>
          </w:p>
        </w:tc>
        <w:tc>
          <w:tcPr>
            <w:tcW w:w="3552" w:type="dxa"/>
            <w:tcBorders>
              <w:top w:val="single" w:sz="4" w:space="0" w:color="000000"/>
              <w:left w:val="single" w:sz="4" w:space="0" w:color="000000"/>
              <w:bottom w:val="single" w:sz="4" w:space="0" w:color="000000"/>
              <w:right w:val="single" w:sz="4" w:space="0" w:color="000000"/>
            </w:tcBorders>
            <w:shd w:val="clear" w:color="auto" w:fill="C0C0C0"/>
            <w:vAlign w:val="center"/>
          </w:tcPr>
          <w:p>
            <w:pPr>
              <w:keepNext w:val="0"/>
              <w:keepLines w:val="0"/>
              <w:widowControl/>
              <w:suppressLineNumbers w:val="0"/>
              <w:jc w:val="center"/>
              <w:textAlignment w:val="center"/>
              <w:rPr>
                <w:rFonts w:ascii="楷体_GB2312" w:eastAsia="楷体_GB2312" w:hAnsi="宋体" w:cs="楷体_GB2312" w:hint="default"/>
                <w:b/>
                <w:bCs/>
                <w:i w:val="0"/>
                <w:iCs w:val="0"/>
                <w:color w:val="000000"/>
                <w:sz w:val="22"/>
                <w:szCs w:val="22"/>
                <w:u w:val="none"/>
              </w:rPr>
            </w:pPr>
            <w:r>
              <w:rPr>
                <w:rFonts w:ascii="楷体_GB2312" w:eastAsia="楷体_GB2312" w:hAnsi="宋体" w:cs="楷体_GB2312" w:hint="default"/>
                <w:b/>
                <w:bCs/>
                <w:i w:val="0"/>
                <w:iCs w:val="0"/>
                <w:snapToGrid w:val="0"/>
                <w:color w:val="000000"/>
                <w:kern w:val="0"/>
                <w:sz w:val="22"/>
                <w:szCs w:val="22"/>
                <w:u w:val="none"/>
                <w:lang w:val="en-US" w:eastAsia="zh-CN"/>
              </w:rPr>
              <w:t>计算公式/方法</w:t>
            </w:r>
          </w:p>
        </w:tc>
        <w:tc>
          <w:tcPr>
            <w:tcW w:w="1308" w:type="dxa"/>
            <w:tcBorders>
              <w:top w:val="single" w:sz="4" w:space="0" w:color="000000"/>
              <w:left w:val="single" w:sz="4" w:space="0" w:color="000000"/>
              <w:bottom w:val="single" w:sz="4" w:space="0" w:color="000000"/>
              <w:right w:val="single" w:sz="4" w:space="0" w:color="000000"/>
            </w:tcBorders>
            <w:shd w:val="clear" w:color="auto" w:fill="C0C0C0"/>
            <w:vAlign w:val="center"/>
          </w:tcPr>
          <w:p>
            <w:pPr>
              <w:keepNext w:val="0"/>
              <w:keepLines w:val="0"/>
              <w:widowControl/>
              <w:suppressLineNumbers w:val="0"/>
              <w:jc w:val="center"/>
              <w:textAlignment w:val="center"/>
              <w:rPr>
                <w:rFonts w:ascii="楷体_GB2312" w:eastAsia="楷体_GB2312" w:hAnsi="宋体" w:cs="楷体_GB2312" w:hint="default"/>
                <w:b/>
                <w:bCs/>
                <w:i w:val="0"/>
                <w:iCs w:val="0"/>
                <w:color w:val="000000"/>
                <w:sz w:val="22"/>
                <w:szCs w:val="22"/>
                <w:u w:val="none"/>
              </w:rPr>
            </w:pPr>
            <w:r>
              <w:rPr>
                <w:rFonts w:ascii="楷体_GB2312" w:eastAsia="楷体_GB2312" w:hAnsi="宋体" w:cs="楷体_GB2312" w:hint="default"/>
                <w:b/>
                <w:bCs/>
                <w:i w:val="0"/>
                <w:iCs w:val="0"/>
                <w:snapToGrid w:val="0"/>
                <w:color w:val="000000"/>
                <w:kern w:val="0"/>
                <w:sz w:val="22"/>
                <w:szCs w:val="22"/>
                <w:u w:val="none"/>
                <w:lang w:val="en-US" w:eastAsia="zh-CN"/>
              </w:rPr>
              <w:t>频度</w:t>
            </w:r>
          </w:p>
        </w:tc>
      </w:tr>
      <w:tr>
        <w:tblPrEx>
          <w:tblW w:w="7675" w:type="dxa"/>
          <w:tblInd w:w="96" w:type="dxa"/>
          <w:shd w:val="clear" w:color="auto" w:fill="auto"/>
          <w:tblCellMar>
            <w:top w:w="0" w:type="dxa"/>
            <w:left w:w="108" w:type="dxa"/>
            <w:bottom w:w="0" w:type="dxa"/>
            <w:right w:w="108" w:type="dxa"/>
          </w:tblCellMar>
        </w:tblPrEx>
        <w:trPr>
          <w:trHeight w:val="493"/>
        </w:trPr>
        <w:tc>
          <w:tcPr>
            <w:tcW w:w="166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ind w:left="0" w:right="0" w:firstLine="0" w:leftChars="0" w:rightChars="0" w:firstLineChars="0"/>
              <w:jc w:val="center"/>
              <w:textAlignment w:val="center"/>
              <w:rPr>
                <w:rFonts w:ascii="楷体_GB2312" w:eastAsia="楷体_GB2312" w:hAnsi="宋体" w:cs="楷体_GB2312" w:hint="default"/>
                <w:b/>
                <w:bCs/>
                <w:i w:val="0"/>
                <w:iCs w:val="0"/>
                <w:snapToGrid w:val="0"/>
                <w:color w:val="000000"/>
                <w:kern w:val="0"/>
                <w:sz w:val="22"/>
                <w:szCs w:val="22"/>
                <w:u w:val="none"/>
                <w:lang w:val="en-US" w:eastAsia="zh-CN"/>
              </w:rPr>
            </w:pPr>
            <w:r>
              <w:rPr>
                <w:rFonts w:ascii="宋体" w:eastAsia="宋体" w:hAnsi="宋体" w:cs="宋体" w:hint="eastAsia"/>
                <w:i w:val="0"/>
                <w:iCs w:val="0"/>
                <w:snapToGrid w:val="0"/>
                <w:color w:val="000000"/>
                <w:kern w:val="0"/>
                <w:sz w:val="21"/>
                <w:szCs w:val="21"/>
                <w:u w:val="none"/>
                <w:lang w:val="en-US" w:eastAsia="zh-CN"/>
              </w:rPr>
              <w:t>内审次数</w:t>
            </w:r>
          </w:p>
        </w:tc>
        <w:tc>
          <w:tcPr>
            <w:tcW w:w="115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楷体_GB2312" w:eastAsia="楷体_GB2312" w:hAnsi="宋体" w:cs="楷体_GB2312" w:hint="default"/>
                <w:b/>
                <w:bCs/>
                <w:i w:val="0"/>
                <w:iCs w:val="0"/>
                <w:snapToGrid w:val="0"/>
                <w:color w:val="000000"/>
                <w:kern w:val="0"/>
                <w:sz w:val="22"/>
                <w:szCs w:val="22"/>
                <w:u w:val="none"/>
                <w:lang w:val="en-US" w:eastAsia="zh-CN"/>
              </w:rPr>
            </w:pPr>
            <w:r>
              <w:rPr>
                <w:rFonts w:ascii="宋体" w:eastAsia="宋体" w:hAnsi="宋体" w:cs="宋体" w:hint="eastAsia"/>
                <w:i w:val="0"/>
                <w:iCs w:val="0"/>
                <w:snapToGrid w:val="0"/>
                <w:color w:val="000000"/>
                <w:kern w:val="0"/>
                <w:sz w:val="21"/>
                <w:szCs w:val="21"/>
                <w:u w:val="none"/>
                <w:lang w:val="en-US" w:eastAsia="zh-CN"/>
              </w:rPr>
              <w:t>≥1次</w:t>
            </w:r>
          </w:p>
        </w:tc>
        <w:tc>
          <w:tcPr>
            <w:tcW w:w="355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楷体_GB2312" w:eastAsia="楷体_GB2312" w:hAnsi="宋体" w:cs="楷体_GB2312" w:hint="default"/>
                <w:b/>
                <w:bCs/>
                <w:i w:val="0"/>
                <w:iCs w:val="0"/>
                <w:snapToGrid w:val="0"/>
                <w:color w:val="000000"/>
                <w:kern w:val="0"/>
                <w:sz w:val="22"/>
                <w:szCs w:val="22"/>
                <w:u w:val="none"/>
                <w:lang w:val="en-US" w:eastAsia="zh-CN"/>
              </w:rPr>
            </w:pPr>
            <w:r>
              <w:rPr>
                <w:rFonts w:ascii="宋体" w:eastAsia="宋体" w:hAnsi="宋体" w:cs="宋体" w:hint="eastAsia"/>
                <w:i w:val="0"/>
                <w:iCs w:val="0"/>
                <w:snapToGrid w:val="0"/>
                <w:color w:val="000000"/>
                <w:kern w:val="0"/>
                <w:sz w:val="21"/>
                <w:szCs w:val="21"/>
                <w:u w:val="none"/>
                <w:lang w:val="en-US" w:eastAsia="zh-CN"/>
              </w:rPr>
              <w:t>数量，内审报告数量</w:t>
            </w:r>
          </w:p>
        </w:tc>
        <w:tc>
          <w:tcPr>
            <w:tcW w:w="1308"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楷体_GB2312" w:eastAsia="楷体_GB2312" w:hAnsi="宋体" w:cs="楷体_GB2312" w:hint="default"/>
                <w:b/>
                <w:bCs/>
                <w:i w:val="0"/>
                <w:iCs w:val="0"/>
                <w:snapToGrid w:val="0"/>
                <w:color w:val="000000"/>
                <w:kern w:val="0"/>
                <w:sz w:val="22"/>
                <w:szCs w:val="22"/>
                <w:u w:val="none"/>
                <w:lang w:val="en-US" w:eastAsia="zh-CN"/>
              </w:rPr>
            </w:pPr>
            <w:r>
              <w:rPr>
                <w:rFonts w:ascii="宋体" w:eastAsia="宋体" w:hAnsi="宋体" w:cs="宋体" w:hint="eastAsia"/>
                <w:i w:val="0"/>
                <w:iCs w:val="0"/>
                <w:snapToGrid w:val="0"/>
                <w:color w:val="000000"/>
                <w:kern w:val="0"/>
                <w:sz w:val="21"/>
                <w:szCs w:val="21"/>
                <w:u w:val="none"/>
                <w:lang w:val="en-US" w:eastAsia="zh-CN"/>
              </w:rPr>
              <w:t>年度</w:t>
            </w:r>
          </w:p>
        </w:tc>
      </w:tr>
    </w:tbl>
    <w:p>
      <w:pPr>
        <w:pStyle w:val="1"/>
        <w:bidi w:val="0"/>
        <w:rPr>
          <w:rFonts w:hint="default"/>
          <w:lang w:val="en-US" w:eastAsia="zh-CN"/>
        </w:rPr>
      </w:pPr>
      <w:bookmarkStart w:id="19" w:name="_Toc32704"/>
      <w:r>
        <w:rPr>
          <w:rFonts w:hint="default"/>
          <w:lang w:val="en-US" w:eastAsia="zh-CN"/>
        </w:rPr>
        <w:t>附则</w:t>
      </w:r>
      <w:bookmarkEnd w:id="19"/>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本制度由质量管理部负责解释与修订。</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本制度自发布之日起正式实施。</w:t>
      </w:r>
    </w:p>
    <w:sectPr>
      <w:headerReference w:type="default" r:id="rId7"/>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楷体_GB2312">
    <w:altName w:val="楷体"/>
    <w:panose1 w:val="00000000000000000000"/>
    <w:charset w:val="00"/>
    <w:family w:val="auto"/>
    <w:pitch w:val="default"/>
    <w:sig w:usb0="00000000" w:usb1="00000000" w:usb2="00000000" w:usb3="00000000" w:csb0="00000000" w:csb1="00000000"/>
  </w:font>
  <w:font w:name="楷体">
    <w:panose1 w:val="02010609060101010101"/>
    <w:charset w:val="86"/>
    <w:family w:val="auto"/>
    <w:pitch w:val="default"/>
    <w:sig w:usb0="800002BF" w:usb1="38CF7CFA" w:usb2="00000016" w:usb3="00000000" w:csb0="00040001" w:csb1="00000000"/>
  </w:font>
  <w:font w:name="KSOFF9CC6125">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tabs>
        <w:tab w:val="left" w:pos="335"/>
        <w:tab w:val="right" w:pos="8426"/>
      </w:tabs>
      <w:jc w:val="right"/>
      <w:rPr>
        <w:rFonts w:eastAsiaTheme="minorEastAsia" w:hint="eastAsia"/>
        <w:lang w:eastAsia="zh-CN"/>
      </w:rPr>
    </w:pPr>
    <w:r>
      <w:rPr>
        <w:rFonts w:eastAsiaTheme="minorEastAsia" w:hint="eastAsia"/>
        <w:lang w:val="en-US" w:eastAsia="zh-CN"/>
      </w:rPr>
      <w:tab/>
    </w:r>
    <w:r>
      <w:rPr>
        <w:rFonts w:eastAsiaTheme="minorEastAsia" w:hint="eastAsia"/>
        <w:lang w:val="en-US" w:eastAsia="zh-CN"/>
      </w:rPr>
      <w:tab/>
    </w:r>
    <w:r>
      <w:rPr>
        <w:rFonts w:eastAsiaTheme="minorEastAsia" w:hint="eastAsia"/>
        <w:lang w:val="en-US" w:eastAsia="zh-CN"/>
      </w:rPr>
      <w:t>桐乡华数广电网络有限公司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C43DCA62"/>
    <w:multiLevelType w:val="singleLevel"/>
    <w:tmpl w:val="C43DCA62"/>
    <w:lvl w:ilvl="0">
      <w:start w:val="1"/>
      <w:numFmt w:val="decimal"/>
      <w:lvlText w:val="%1."/>
      <w:lvlJc w:val="left"/>
      <w:pPr>
        <w:ind w:left="425" w:hanging="425"/>
      </w:pPr>
      <w:rPr>
        <w:rFonts w:hint="default"/>
      </w:rPr>
    </w:lvl>
  </w:abstractNum>
  <w:abstractNum w:abstractNumId="2">
    <w:nsid w:val="241F447C"/>
    <w:multiLevelType w:val="singleLevel"/>
    <w:tmpl w:val="241F447C"/>
    <w:lvl w:ilvl="0">
      <w:start w:val="1"/>
      <w:numFmt w:val="decimal"/>
      <w:lvlText w:val="%1."/>
      <w:lvlJc w:val="left"/>
      <w:pPr>
        <w:ind w:left="425" w:hanging="425"/>
      </w:pPr>
      <w:rPr>
        <w:rFonts w:hint="default"/>
      </w:rPr>
    </w:lvl>
  </w:abstractNum>
  <w:abstractNum w:abstractNumId="3">
    <w:nsid w:val="653842F0"/>
    <w:multiLevelType w:val="singleLevel"/>
    <w:tmpl w:val="653842F0"/>
    <w:lvl w:ilvl="0">
      <w:start w:val="1"/>
      <w:numFmt w:val="decimal"/>
      <w:lvlText w:val="%1."/>
      <w:lvlJc w:val="left"/>
      <w:pPr>
        <w:ind w:left="425" w:hanging="425"/>
      </w:pPr>
      <w:rPr>
        <w:rFonts w:hint="default"/>
      </w:rPr>
    </w:lvl>
  </w:abstractNum>
  <w:num w:numId="1">
    <w:abstractNumId w:val="0"/>
  </w:num>
  <w:num w:numId="2">
    <w:abstractNumId w:val="1"/>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image" Target="media/image3.png" /><Relationship Id="rId7" Type="http://schemas.openxmlformats.org/officeDocument/2006/relationships/header" Target="header1.xml" /><Relationship Id="rId8" Type="http://schemas.openxmlformats.org/officeDocument/2006/relationships/theme" Target="theme/theme1.xml" /><Relationship Id="rId9" Type="http://schemas.openxmlformats.org/officeDocument/2006/relationships/numbering" Target="numbering.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7</Pages>
  <Words>1971</Words>
  <Characters>2080</Characters>
  <Application>Microsoft Office Word</Application>
  <DocSecurity>0</DocSecurity>
  <Lines>0</Lines>
  <Paragraphs>0</Paragraphs>
  <ScaleCrop>false</ScaleCrop>
  <Company/>
  <LinksUpToDate>false</LinksUpToDate>
  <CharactersWithSpaces>2154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2026-05-06T05:27:22Z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