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A68A02">
      <w:pPr>
        <w:pStyle w:val="25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3120" w:beforeLines="1000"/>
        <w:ind w:firstLine="420" w:firstLineChars="0"/>
        <w:textAlignment w:val="baseline"/>
      </w:pPr>
      <w:bookmarkStart w:id="0" w:name="_Toc13643"/>
      <w: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273675" cy="8843645"/>
            <wp:effectExtent l="0" t="0" r="14605" b="10795"/>
            <wp:wrapNone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8843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635</wp:posOffset>
            </wp:positionH>
            <wp:positionV relativeFrom="paragraph">
              <wp:posOffset>3810</wp:posOffset>
            </wp:positionV>
            <wp:extent cx="5269865" cy="8856980"/>
            <wp:effectExtent l="0" t="0" r="3175" b="12700"/>
            <wp:wrapNone/>
            <wp:docPr id="2" name="图片 2" descr="微信图片_20250926153852_981_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微信图片_20250926153852_981_83"/>
                    <pic:cNvPicPr>
                      <a:picLocks noChangeAspect="1"/>
                    </pic:cNvPicPr>
                  </pic:nvPicPr>
                  <pic:blipFill>
                    <a:blip r:embed="rId9">
                      <a:alphaModFix amt="58000"/>
                      <a:lum contrast="-52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8856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>桐乡华数广电网络有限公司</w:t>
      </w:r>
      <w:r>
        <w:drawing>
          <wp:anchor distT="0" distB="0" distL="114300" distR="114300" simplePos="0" relativeHeight="251661312" behindDoc="1" locked="0" layoutInCell="1" allowOverlap="1">
            <wp:simplePos x="0" y="0"/>
            <wp:positionH relativeFrom="column">
              <wp:posOffset>-19050</wp:posOffset>
            </wp:positionH>
            <wp:positionV relativeFrom="paragraph">
              <wp:posOffset>-22225</wp:posOffset>
            </wp:positionV>
            <wp:extent cx="5304790" cy="8893810"/>
            <wp:effectExtent l="0" t="0" r="13970" b="6350"/>
            <wp:wrapNone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4790" cy="8893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bookmarkEnd w:id="0"/>
    </w:p>
    <w:p w14:paraId="24AE257E">
      <w:pPr>
        <w:pStyle w:val="26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624" w:afterLines="200"/>
        <w:textAlignment w:val="baseline"/>
        <w:rPr>
          <w:rFonts w:hint="default"/>
          <w:lang w:val="en-US" w:eastAsia="zh-CN"/>
        </w:rPr>
      </w:pPr>
      <w:bookmarkStart w:id="1" w:name="_Toc27050"/>
      <w:r>
        <w:rPr>
          <w:rFonts w:hint="eastAsia"/>
          <w:lang w:val="en-US" w:eastAsia="zh-CN"/>
        </w:rPr>
        <w:t>2025年度6月满意度调查报告</w:t>
      </w:r>
      <w:bookmarkEnd w:id="1"/>
    </w:p>
    <w:p w14:paraId="1A72E419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624" w:afterLines="200" w:line="219" w:lineRule="auto"/>
        <w:ind w:left="0" w:leftChars="0" w:right="0" w:rightChars="0" w:firstLine="0" w:firstLineChars="0"/>
        <w:jc w:val="center"/>
        <w:textAlignment w:val="baseline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文件编号：</w:t>
      </w:r>
      <w:r>
        <w:rPr>
          <w:rFonts w:hint="eastAsia" w:ascii="宋体" w:hAnsi="宋体" w:eastAsia="宋体" w:cs="宋体"/>
          <w:b/>
          <w:bCs/>
          <w:spacing w:val="-3"/>
          <w:sz w:val="24"/>
          <w:szCs w:val="24"/>
          <w:lang w:val="en-US" w:eastAsia="zh-CN"/>
        </w:rPr>
        <w:t>TXHS</w:t>
      </w: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-0</w:t>
      </w:r>
      <w:r>
        <w:rPr>
          <w:rFonts w:hint="eastAsia" w:ascii="宋体" w:hAnsi="宋体" w:cs="宋体"/>
          <w:b/>
          <w:bCs/>
          <w:spacing w:val="-3"/>
          <w:sz w:val="24"/>
          <w:szCs w:val="24"/>
          <w:lang w:val="en-US" w:eastAsia="zh-CN"/>
        </w:rPr>
        <w:t>4</w:t>
      </w: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-</w:t>
      </w:r>
      <w:r>
        <w:rPr>
          <w:rFonts w:hint="eastAsia" w:ascii="宋体" w:hAnsi="宋体" w:cs="宋体"/>
          <w:b/>
          <w:bCs/>
          <w:spacing w:val="-3"/>
          <w:sz w:val="24"/>
          <w:szCs w:val="24"/>
          <w:lang w:val="en-US" w:eastAsia="zh-CN"/>
        </w:rPr>
        <w:t>10-1</w:t>
      </w:r>
    </w:p>
    <w:tbl>
      <w:tblPr>
        <w:tblStyle w:val="21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32"/>
        <w:gridCol w:w="2708"/>
      </w:tblGrid>
      <w:tr w14:paraId="17A26E4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  <w:jc w:val="center"/>
        </w:trPr>
        <w:tc>
          <w:tcPr>
            <w:tcW w:w="2432" w:type="dxa"/>
          </w:tcPr>
          <w:p w14:paraId="4ED9F86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编制部门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质量管理部</w:t>
            </w:r>
          </w:p>
        </w:tc>
        <w:tc>
          <w:tcPr>
            <w:tcW w:w="2708" w:type="dxa"/>
          </w:tcPr>
          <w:p w14:paraId="7DA07897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2025.06.30</w:t>
            </w:r>
          </w:p>
        </w:tc>
      </w:tr>
      <w:tr w14:paraId="2128512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  <w:jc w:val="center"/>
        </w:trPr>
        <w:tc>
          <w:tcPr>
            <w:tcW w:w="2432" w:type="dxa"/>
            <w:shd w:val="clear" w:color="auto" w:fill="auto"/>
          </w:tcPr>
          <w:p w14:paraId="6738DBA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spacing w:val="210"/>
                <w:kern w:val="0"/>
                <w:vertAlign w:val="baseline"/>
                <w:lang w:val="en-US" w:eastAsia="zh-CN"/>
              </w:rPr>
              <w:t>版</w:t>
            </w:r>
            <w:r>
              <w:rPr>
                <w:rFonts w:hint="eastAsia"/>
                <w:spacing w:val="0"/>
                <w:kern w:val="0"/>
                <w:vertAlign w:val="baseline"/>
                <w:lang w:val="en-US" w:eastAsia="zh-CN"/>
              </w:rPr>
              <w:t>本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spacing w:val="66"/>
                <w:kern w:val="0"/>
                <w:u w:val="single"/>
                <w:vertAlign w:val="baseline"/>
                <w:lang w:val="en-US" w:eastAsia="zh-CN"/>
              </w:rPr>
              <w:t>V1.</w:t>
            </w:r>
            <w:r>
              <w:rPr>
                <w:rFonts w:hint="eastAsia"/>
                <w:spacing w:val="0"/>
                <w:kern w:val="0"/>
                <w:u w:val="single"/>
                <w:vertAlign w:val="baseline"/>
                <w:lang w:val="en-US" w:eastAsia="zh-CN"/>
              </w:rPr>
              <w:t>0</w:t>
            </w:r>
          </w:p>
        </w:tc>
        <w:tc>
          <w:tcPr>
            <w:tcW w:w="2708" w:type="dxa"/>
            <w:shd w:val="clear" w:color="auto" w:fill="auto"/>
          </w:tcPr>
          <w:p w14:paraId="763F994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审核时间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2025.06.30</w:t>
            </w:r>
          </w:p>
        </w:tc>
      </w:tr>
      <w:tr w14:paraId="0968DA3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 w:hRule="atLeast"/>
          <w:jc w:val="center"/>
        </w:trPr>
        <w:tc>
          <w:tcPr>
            <w:tcW w:w="2432" w:type="dxa"/>
          </w:tcPr>
          <w:p w14:paraId="6FC9F3D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spacing w:val="52"/>
                <w:kern w:val="0"/>
                <w:vertAlign w:val="baseline"/>
                <w:lang w:val="en-US" w:eastAsia="zh-CN"/>
              </w:rPr>
              <w:t>批准</w:t>
            </w:r>
            <w:r>
              <w:rPr>
                <w:rFonts w:hint="eastAsia"/>
                <w:spacing w:val="1"/>
                <w:kern w:val="0"/>
                <w:vertAlign w:val="baseline"/>
                <w:lang w:val="en-US" w:eastAsia="zh-CN"/>
              </w:rPr>
              <w:t>人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lang w:val="en-US" w:eastAsia="zh-CN"/>
              </w:rPr>
              <w:t>吴亚红</w:t>
            </w:r>
          </w:p>
        </w:tc>
        <w:tc>
          <w:tcPr>
            <w:tcW w:w="2708" w:type="dxa"/>
          </w:tcPr>
          <w:p w14:paraId="7F7C52C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审批时间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2025.06.30</w:t>
            </w:r>
          </w:p>
        </w:tc>
      </w:tr>
    </w:tbl>
    <w:p w14:paraId="65F65E4A"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p w14:paraId="0DCB680A"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spacing w:before="153" w:line="225" w:lineRule="auto"/>
        <w:ind w:left="3634"/>
        <w:textAlignment w:val="baseline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b/>
          <w:bCs/>
          <w:spacing w:val="4"/>
          <w:sz w:val="31"/>
          <w:szCs w:val="31"/>
        </w:rPr>
        <w:t>修订记录</w:t>
      </w:r>
    </w:p>
    <w:tbl>
      <w:tblPr>
        <w:tblStyle w:val="27"/>
        <w:tblW w:w="8214" w:type="dxa"/>
        <w:jc w:val="center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317"/>
        <w:gridCol w:w="972"/>
        <w:gridCol w:w="1575"/>
        <w:gridCol w:w="1829"/>
        <w:gridCol w:w="1606"/>
        <w:gridCol w:w="915"/>
      </w:tblGrid>
      <w:tr w14:paraId="4F9D8A3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3" w:hRule="atLeast"/>
          <w:jc w:val="center"/>
        </w:trPr>
        <w:tc>
          <w:tcPr>
            <w:tcW w:w="1317" w:type="dxa"/>
          </w:tcPr>
          <w:p w14:paraId="0F470B9D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6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cs="宋体"/>
                <w:spacing w:val="-14"/>
                <w:sz w:val="20"/>
                <w:szCs w:val="20"/>
                <w:lang w:val="en-US" w:eastAsia="zh-CN"/>
              </w:rPr>
              <w:t>修订</w:t>
            </w:r>
            <w:r>
              <w:rPr>
                <w:rFonts w:ascii="宋体" w:hAnsi="宋体" w:eastAsia="宋体" w:cs="宋体"/>
                <w:spacing w:val="-14"/>
                <w:sz w:val="20"/>
                <w:szCs w:val="20"/>
              </w:rPr>
              <w:t>日期</w:t>
            </w:r>
          </w:p>
        </w:tc>
        <w:tc>
          <w:tcPr>
            <w:tcW w:w="972" w:type="dxa"/>
          </w:tcPr>
          <w:p w14:paraId="34601C60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7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sz w:val="20"/>
                <w:szCs w:val="20"/>
              </w:rPr>
              <w:t>版本</w:t>
            </w:r>
          </w:p>
        </w:tc>
        <w:tc>
          <w:tcPr>
            <w:tcW w:w="1575" w:type="dxa"/>
          </w:tcPr>
          <w:p w14:paraId="4FD4DA6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变更说明</w:t>
            </w:r>
          </w:p>
        </w:tc>
        <w:tc>
          <w:tcPr>
            <w:tcW w:w="1829" w:type="dxa"/>
          </w:tcPr>
          <w:p w14:paraId="0151576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eastAsia" w:ascii="宋体" w:hAnsi="宋体" w:eastAsia="宋体" w:cs="宋体"/>
                <w:spacing w:val="7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cs="宋体"/>
                <w:spacing w:val="7"/>
                <w:sz w:val="20"/>
                <w:szCs w:val="20"/>
                <w:lang w:val="en-US" w:eastAsia="zh-CN"/>
              </w:rPr>
              <w:t>修订人</w:t>
            </w:r>
          </w:p>
        </w:tc>
        <w:tc>
          <w:tcPr>
            <w:tcW w:w="1606" w:type="dxa"/>
          </w:tcPr>
          <w:p w14:paraId="02CE546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宋体" w:hAnsi="宋体" w:cs="宋体"/>
                <w:spacing w:val="7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cs="宋体"/>
                <w:spacing w:val="7"/>
                <w:sz w:val="20"/>
                <w:szCs w:val="20"/>
                <w:lang w:val="en-US" w:eastAsia="zh-CN"/>
              </w:rPr>
              <w:t>审批人</w:t>
            </w:r>
          </w:p>
        </w:tc>
        <w:tc>
          <w:tcPr>
            <w:tcW w:w="915" w:type="dxa"/>
          </w:tcPr>
          <w:p w14:paraId="0E0F9AC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6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批准人</w:t>
            </w:r>
          </w:p>
        </w:tc>
      </w:tr>
      <w:tr w14:paraId="5024ED1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6" w:hRule="atLeast"/>
          <w:jc w:val="center"/>
        </w:trPr>
        <w:tc>
          <w:tcPr>
            <w:tcW w:w="1317" w:type="dxa"/>
          </w:tcPr>
          <w:p w14:paraId="1C6977C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宋体" w:hAnsi="宋体" w:eastAsia="宋体" w:cs="宋体"/>
                <w:sz w:val="20"/>
                <w:szCs w:val="20"/>
                <w:lang w:val="en-US"/>
              </w:rPr>
            </w:pPr>
            <w:r>
              <w:rPr>
                <w:rFonts w:ascii="宋体" w:hAnsi="宋体" w:eastAsia="宋体" w:cs="宋体"/>
                <w:spacing w:val="3"/>
                <w:position w:val="1"/>
                <w:sz w:val="20"/>
                <w:szCs w:val="20"/>
              </w:rPr>
              <w:t>2025.0</w:t>
            </w:r>
            <w:r>
              <w:rPr>
                <w:rFonts w:hint="eastAsia" w:ascii="宋体" w:hAnsi="宋体" w:cs="宋体"/>
                <w:spacing w:val="3"/>
                <w:position w:val="1"/>
                <w:sz w:val="20"/>
                <w:szCs w:val="20"/>
                <w:lang w:val="en-US" w:eastAsia="zh-CN"/>
              </w:rPr>
              <w:t>6</w:t>
            </w:r>
            <w:r>
              <w:rPr>
                <w:rFonts w:ascii="宋体" w:hAnsi="宋体" w:eastAsia="宋体" w:cs="宋体"/>
                <w:spacing w:val="3"/>
                <w:position w:val="1"/>
                <w:sz w:val="20"/>
                <w:szCs w:val="20"/>
              </w:rPr>
              <w:t>.</w:t>
            </w:r>
            <w:r>
              <w:rPr>
                <w:rFonts w:hint="eastAsia" w:ascii="宋体" w:hAnsi="宋体" w:cs="宋体"/>
                <w:spacing w:val="3"/>
                <w:position w:val="1"/>
                <w:sz w:val="20"/>
                <w:szCs w:val="20"/>
                <w:lang w:val="en-US" w:eastAsia="zh-CN"/>
              </w:rPr>
              <w:t>30</w:t>
            </w:r>
          </w:p>
        </w:tc>
        <w:tc>
          <w:tcPr>
            <w:tcW w:w="972" w:type="dxa"/>
          </w:tcPr>
          <w:p w14:paraId="72F57C3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position w:val="1"/>
                <w:sz w:val="20"/>
                <w:szCs w:val="20"/>
              </w:rPr>
              <w:t>V1.0</w:t>
            </w:r>
          </w:p>
        </w:tc>
        <w:tc>
          <w:tcPr>
            <w:tcW w:w="1575" w:type="dxa"/>
          </w:tcPr>
          <w:p w14:paraId="1D91D5C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2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200"/>
                <w:kern w:val="0"/>
                <w:sz w:val="20"/>
                <w:szCs w:val="20"/>
              </w:rPr>
              <w:t>新</w:t>
            </w:r>
            <w:r>
              <w:rPr>
                <w:rFonts w:ascii="宋体" w:hAnsi="宋体" w:eastAsia="宋体" w:cs="宋体"/>
                <w:spacing w:val="0"/>
                <w:kern w:val="0"/>
                <w:sz w:val="20"/>
                <w:szCs w:val="20"/>
              </w:rPr>
              <w:t>建</w:t>
            </w:r>
          </w:p>
        </w:tc>
        <w:tc>
          <w:tcPr>
            <w:tcW w:w="1829" w:type="dxa"/>
          </w:tcPr>
          <w:p w14:paraId="1E53615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pacing w:val="200"/>
                <w:kern w:val="0"/>
                <w:sz w:val="20"/>
                <w:szCs w:val="20"/>
              </w:rPr>
            </w:pPr>
            <w:r>
              <w:rPr>
                <w:rFonts w:hint="eastAsia" w:asciiTheme="minorAscii" w:hAnsiTheme="minorAscii" w:eastAsiaTheme="minorEastAsia"/>
                <w:spacing w:val="0"/>
                <w:kern w:val="0"/>
                <w:sz w:val="21"/>
                <w:vertAlign w:val="baseline"/>
                <w:lang w:val="en-US" w:eastAsia="zh-CN"/>
              </w:rPr>
              <w:t>李伟</w:t>
            </w:r>
          </w:p>
        </w:tc>
        <w:tc>
          <w:tcPr>
            <w:tcW w:w="1606" w:type="dxa"/>
          </w:tcPr>
          <w:p w14:paraId="18AD9C50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pacing w:val="200"/>
                <w:kern w:val="0"/>
                <w:sz w:val="20"/>
                <w:szCs w:val="20"/>
              </w:rPr>
            </w:pPr>
            <w:r>
              <w:rPr>
                <w:rFonts w:hint="eastAsia" w:asciiTheme="minorAscii" w:hAnsiTheme="minorAscii" w:eastAsiaTheme="minorEastAsia"/>
                <w:spacing w:val="0"/>
                <w:kern w:val="0"/>
                <w:sz w:val="21"/>
                <w:vertAlign w:val="baseline"/>
                <w:lang w:val="en-US" w:eastAsia="zh-CN"/>
              </w:rPr>
              <w:t>陈凯</w:t>
            </w:r>
          </w:p>
        </w:tc>
        <w:tc>
          <w:tcPr>
            <w:tcW w:w="915" w:type="dxa"/>
          </w:tcPr>
          <w:p w14:paraId="0C0DD9F3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Theme="minorAscii" w:hAnsiTheme="minorAscii" w:eastAsiaTheme="minorEastAsia"/>
                <w:spacing w:val="0"/>
                <w:kern w:val="0"/>
                <w:sz w:val="21"/>
                <w:vertAlign w:val="baseline"/>
                <w:lang w:val="en-US" w:eastAsia="zh-CN"/>
              </w:rPr>
              <w:t>吴亚红</w:t>
            </w:r>
          </w:p>
        </w:tc>
      </w:tr>
      <w:tr w14:paraId="521915A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  <w:jc w:val="center"/>
        </w:trPr>
        <w:tc>
          <w:tcPr>
            <w:tcW w:w="1317" w:type="dxa"/>
          </w:tcPr>
          <w:p w14:paraId="1208CD9D">
            <w:pPr>
              <w:pStyle w:val="28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72" w:type="dxa"/>
          </w:tcPr>
          <w:p w14:paraId="2407C21F">
            <w:pPr>
              <w:pStyle w:val="28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575" w:type="dxa"/>
          </w:tcPr>
          <w:p w14:paraId="498087A6">
            <w:pPr>
              <w:pStyle w:val="28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829" w:type="dxa"/>
          </w:tcPr>
          <w:p w14:paraId="0CDA3935">
            <w:pPr>
              <w:pStyle w:val="28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606" w:type="dxa"/>
          </w:tcPr>
          <w:p w14:paraId="1F19E66A">
            <w:pPr>
              <w:pStyle w:val="28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15" w:type="dxa"/>
          </w:tcPr>
          <w:p w14:paraId="4F3D71AC">
            <w:pPr>
              <w:pStyle w:val="28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</w:tr>
      <w:tr w14:paraId="681C845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  <w:jc w:val="center"/>
        </w:trPr>
        <w:tc>
          <w:tcPr>
            <w:tcW w:w="1317" w:type="dxa"/>
          </w:tcPr>
          <w:p w14:paraId="49620915">
            <w:pPr>
              <w:pStyle w:val="28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72" w:type="dxa"/>
          </w:tcPr>
          <w:p w14:paraId="120EFC31">
            <w:pPr>
              <w:pStyle w:val="28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575" w:type="dxa"/>
          </w:tcPr>
          <w:p w14:paraId="38BABA67">
            <w:pPr>
              <w:pStyle w:val="28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829" w:type="dxa"/>
          </w:tcPr>
          <w:p w14:paraId="42368913">
            <w:pPr>
              <w:pStyle w:val="28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606" w:type="dxa"/>
          </w:tcPr>
          <w:p w14:paraId="777C87E3">
            <w:pPr>
              <w:pStyle w:val="28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15" w:type="dxa"/>
          </w:tcPr>
          <w:p w14:paraId="73409156">
            <w:pPr>
              <w:pStyle w:val="28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</w:tr>
      <w:tr w14:paraId="56130FA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7" w:hRule="atLeast"/>
          <w:jc w:val="center"/>
        </w:trPr>
        <w:tc>
          <w:tcPr>
            <w:tcW w:w="1317" w:type="dxa"/>
          </w:tcPr>
          <w:p w14:paraId="4CC67062">
            <w:pPr>
              <w:pStyle w:val="28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72" w:type="dxa"/>
          </w:tcPr>
          <w:p w14:paraId="45AB92E5">
            <w:pPr>
              <w:pStyle w:val="28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575" w:type="dxa"/>
          </w:tcPr>
          <w:p w14:paraId="15CC0D20">
            <w:pPr>
              <w:pStyle w:val="28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829" w:type="dxa"/>
          </w:tcPr>
          <w:p w14:paraId="2ECE0707">
            <w:pPr>
              <w:pStyle w:val="28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606" w:type="dxa"/>
          </w:tcPr>
          <w:p w14:paraId="54C2A2C5">
            <w:pPr>
              <w:pStyle w:val="28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15" w:type="dxa"/>
          </w:tcPr>
          <w:p w14:paraId="3B099B2A">
            <w:pPr>
              <w:pStyle w:val="28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</w:tr>
    </w:tbl>
    <w:p w14:paraId="233B21BD"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sdt>
      <w:sdtPr>
        <w:rPr>
          <w:rFonts w:ascii="宋体" w:hAnsi="宋体" w:eastAsia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68666"/>
        <w:docPartObj>
          <w:docPartGallery w:val="Table of Contents"/>
          <w:docPartUnique/>
        </w:docPartObj>
      </w:sdtPr>
      <w:sdtEndPr>
        <w:rPr>
          <w:rFonts w:hint="eastAsia" w:ascii="宋体" w:hAnsi="宋体" w:eastAsia="宋体" w:cs="宋体"/>
          <w:snapToGrid w:val="0"/>
          <w:color w:val="000000"/>
          <w:kern w:val="0"/>
          <w:sz w:val="24"/>
          <w:szCs w:val="24"/>
          <w:lang w:val="en-US" w:eastAsia="en-US" w:bidi="ar-SA"/>
        </w:rPr>
      </w:sdtEndPr>
      <w:sdtContent>
        <w:p w14:paraId="7730AB06"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textAlignment w:val="baseline"/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sz w:val="24"/>
              <w:szCs w:val="24"/>
            </w:rPr>
            <w:t>目录</w:t>
          </w:r>
        </w:p>
        <w:p w14:paraId="7071093E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TOC \o "1-3" \h \u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_Toc13643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桐乡华数广电网络有限公司</w:t>
          </w:r>
          <w:r>
            <w:tab/>
          </w:r>
          <w:r>
            <w:fldChar w:fldCharType="begin"/>
          </w:r>
          <w:r>
            <w:instrText xml:space="preserve"> PAGEREF _Toc13643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BE6606A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_Toc27050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2025年度6月满意度调查报告</w:t>
          </w:r>
          <w:r>
            <w:tab/>
          </w:r>
          <w:r>
            <w:fldChar w:fldCharType="begin"/>
          </w:r>
          <w:r>
            <w:instrText xml:space="preserve"> PAGEREF _Toc27050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88699DE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_Toc27944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1. 概述</w:t>
          </w:r>
          <w:r>
            <w:tab/>
          </w:r>
          <w:r>
            <w:fldChar w:fldCharType="begin"/>
          </w:r>
          <w:r>
            <w:instrText xml:space="preserve"> PAGEREF _Toc27944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A2A2A66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_Toc19475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2. 调查方法与评价体系</w:t>
          </w:r>
          <w:r>
            <w:tab/>
          </w:r>
          <w:r>
            <w:fldChar w:fldCharType="begin"/>
          </w:r>
          <w:r>
            <w:instrText xml:space="preserve"> PAGEREF _Toc19475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6ED0744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_Toc20883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2.1. 调查方法</w:t>
          </w:r>
          <w:r>
            <w:tab/>
          </w:r>
          <w:r>
            <w:fldChar w:fldCharType="begin"/>
          </w:r>
          <w:r>
            <w:instrText xml:space="preserve"> PAGEREF _Toc20883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AC78080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_Toc32509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2.2. 评价与计分标准</w:t>
          </w:r>
          <w:r>
            <w:tab/>
          </w:r>
          <w:r>
            <w:fldChar w:fldCharType="begin"/>
          </w:r>
          <w:r>
            <w:instrText xml:space="preserve"> PAGEREF _Toc32509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77AC43F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_Toc3821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3. 调查结果综合分析</w:t>
          </w:r>
          <w:r>
            <w:tab/>
          </w:r>
          <w:r>
            <w:fldChar w:fldCharType="begin"/>
          </w:r>
          <w:r>
            <w:instrText xml:space="preserve"> PAGEREF _Toc3821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FC1C207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_Toc24775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3.1. 整体满意度结果</w:t>
          </w:r>
          <w:r>
            <w:tab/>
          </w:r>
          <w:r>
            <w:fldChar w:fldCharType="begin"/>
          </w:r>
          <w:r>
            <w:instrText xml:space="preserve"> PAGEREF _Toc24775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561C0CC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_Toc18347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3.2. 各维度满意度分析</w:t>
          </w:r>
          <w:r>
            <w:tab/>
          </w:r>
          <w:r>
            <w:fldChar w:fldCharType="begin"/>
          </w:r>
          <w:r>
            <w:instrText xml:space="preserve"> PAGEREF _Toc18347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5081B2F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_Toc6485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 结论与总结</w:t>
          </w:r>
          <w:r>
            <w:tab/>
          </w:r>
          <w:r>
            <w:fldChar w:fldCharType="begin"/>
          </w:r>
          <w:r>
            <w:instrText xml:space="preserve"> PAGEREF _Toc6485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1E0F3A8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_Toc32325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4.1. </w:t>
          </w:r>
          <w:r>
            <w:rPr>
              <w:rFonts w:hint="eastAsia"/>
              <w:lang w:val="en-US" w:eastAsia="zh-CN"/>
            </w:rPr>
            <w:t>上半年工作总结</w:t>
          </w:r>
          <w:r>
            <w:tab/>
          </w:r>
          <w:r>
            <w:fldChar w:fldCharType="begin"/>
          </w:r>
          <w:r>
            <w:instrText xml:space="preserve"> PAGEREF _Toc32325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08D30AC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_Toc15072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4.2. 下一步工作</w:t>
          </w:r>
          <w:r>
            <w:tab/>
          </w:r>
          <w:r>
            <w:fldChar w:fldCharType="begin"/>
          </w:r>
          <w:r>
            <w:instrText xml:space="preserve"> PAGEREF _Toc15072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080F8BC"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textAlignment w:val="baseline"/>
            <w:rPr>
              <w:rFonts w:hint="eastAsia" w:ascii="宋体" w:hAnsi="宋体" w:eastAsia="宋体" w:cs="宋体"/>
              <w:snapToGrid w:val="0"/>
              <w:color w:val="000000"/>
              <w:kern w:val="0"/>
              <w:sz w:val="24"/>
              <w:szCs w:val="24"/>
              <w:lang w:val="en-US" w:eastAsia="en-US" w:bidi="ar-SA"/>
            </w:rPr>
          </w:pP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</w:sdtContent>
    </w:sdt>
    <w:p w14:paraId="72ED219F"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ascii="Arial" w:hAnsi="Arial" w:eastAsia="Arial" w:cs="Arial"/>
          <w:snapToGrid w:val="0"/>
          <w:color w:val="000000"/>
          <w:kern w:val="0"/>
          <w:sz w:val="21"/>
          <w:szCs w:val="21"/>
          <w:lang w:val="en-US" w:eastAsia="en-US" w:bidi="ar-SA"/>
        </w:rPr>
      </w:pPr>
      <w:r>
        <w:rPr>
          <w:rFonts w:ascii="Arial" w:hAnsi="Arial" w:eastAsia="Arial" w:cs="Arial"/>
          <w:snapToGrid w:val="0"/>
          <w:color w:val="000000"/>
          <w:kern w:val="0"/>
          <w:sz w:val="21"/>
          <w:szCs w:val="21"/>
          <w:lang w:val="en-US" w:eastAsia="en-US" w:bidi="ar-SA"/>
        </w:rPr>
        <w:br w:type="page"/>
      </w:r>
    </w:p>
    <w:p w14:paraId="16EB90C9">
      <w:pPr>
        <w:pStyle w:val="29"/>
        <w:bidi w:val="0"/>
        <w:rPr>
          <w:rFonts w:hint="default"/>
          <w:lang w:val="en-US" w:eastAsia="zh-CN"/>
        </w:rPr>
      </w:pPr>
      <w:bookmarkStart w:id="2" w:name="_Toc27944"/>
      <w:r>
        <w:rPr>
          <w:rFonts w:hint="default"/>
          <w:lang w:val="en-US" w:eastAsia="zh-CN"/>
        </w:rPr>
        <w:t>概述</w:t>
      </w:r>
      <w:bookmarkEnd w:id="2"/>
    </w:p>
    <w:p w14:paraId="257B3F29">
      <w:pPr>
        <w:pStyle w:val="3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为客观评估公司运维服务质量，深入了解客户需求与期望，持续提升客户满意度，质量管理部根据《客户满意度调查管理制度》要求，于2025年6月</w:t>
      </w:r>
      <w:r>
        <w:rPr>
          <w:rFonts w:hint="eastAsia"/>
          <w:lang w:val="en-US" w:eastAsia="zh-CN"/>
        </w:rPr>
        <w:t>底</w:t>
      </w:r>
      <w:r>
        <w:rPr>
          <w:rFonts w:hint="default"/>
          <w:lang w:val="en-US" w:eastAsia="zh-CN"/>
        </w:rPr>
        <w:t>组织开展了半年度客户满意度调查工作。</w:t>
      </w:r>
    </w:p>
    <w:p w14:paraId="2FE1144E">
      <w:pPr>
        <w:pStyle w:val="3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本次调查旨在通过对服务客户的直接回访，真实反映客户对我公司运维服务的质量评价，识别服务过程中的优势与待改进环节，为后续服务质量改进与管理决策提供客观依据。</w:t>
      </w:r>
    </w:p>
    <w:p w14:paraId="76CB9F91">
      <w:pPr>
        <w:pStyle w:val="3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本次调查采用线上问卷与电话回访相结合的方式，面向2025年上半年有活跃服务记录的客户进行抽样调查。截至报告期，共回收有效调查问卷</w:t>
      </w:r>
      <w:r>
        <w:rPr>
          <w:rFonts w:hint="eastAsia"/>
          <w:lang w:val="en-US" w:eastAsia="zh-CN"/>
        </w:rPr>
        <w:t>8份</w:t>
      </w:r>
      <w:r>
        <w:rPr>
          <w:rFonts w:hint="default"/>
          <w:lang w:val="en-US" w:eastAsia="zh-CN"/>
        </w:rPr>
        <w:t>，覆盖了主要服务省份和项目，调查结果具有较好的代表性。</w:t>
      </w:r>
    </w:p>
    <w:p w14:paraId="2F12E1AF">
      <w:pPr>
        <w:pStyle w:val="29"/>
        <w:bidi w:val="0"/>
        <w:rPr>
          <w:rFonts w:hint="default"/>
          <w:lang w:val="en-US" w:eastAsia="zh-CN"/>
        </w:rPr>
      </w:pPr>
      <w:bookmarkStart w:id="3" w:name="_Toc19475"/>
      <w:r>
        <w:rPr>
          <w:rFonts w:hint="default"/>
          <w:lang w:val="en-US" w:eastAsia="zh-CN"/>
        </w:rPr>
        <w:t>调查方法与评价体系</w:t>
      </w:r>
      <w:bookmarkEnd w:id="3"/>
    </w:p>
    <w:p w14:paraId="3F83B5F2">
      <w:pPr>
        <w:pStyle w:val="31"/>
        <w:bidi w:val="0"/>
        <w:rPr>
          <w:rFonts w:hint="default"/>
          <w:lang w:val="en-US" w:eastAsia="zh-CN"/>
        </w:rPr>
      </w:pPr>
      <w:bookmarkStart w:id="4" w:name="_Toc20883"/>
      <w:r>
        <w:rPr>
          <w:rFonts w:hint="default"/>
          <w:lang w:val="en-US" w:eastAsia="zh-CN"/>
        </w:rPr>
        <w:t>调查方法</w:t>
      </w:r>
      <w:bookmarkEnd w:id="4"/>
    </w:p>
    <w:p w14:paraId="6CC7C134">
      <w:pPr>
        <w:pStyle w:val="3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调查方式：以线上电子问卷</w:t>
      </w:r>
      <w:r>
        <w:rPr>
          <w:rFonts w:hint="eastAsia"/>
          <w:lang w:val="en-US" w:eastAsia="zh-CN"/>
        </w:rPr>
        <w:t>方式进行</w:t>
      </w:r>
      <w:r>
        <w:rPr>
          <w:rFonts w:hint="default"/>
          <w:lang w:val="en-US" w:eastAsia="zh-CN"/>
        </w:rPr>
        <w:t>。</w:t>
      </w:r>
    </w:p>
    <w:p w14:paraId="2A2DB122">
      <w:pPr>
        <w:pStyle w:val="3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调查对象：从当期服务客户清单中，按项目类型和地域分层抽样选取。</w:t>
      </w:r>
    </w:p>
    <w:p w14:paraId="30D09BC2">
      <w:pPr>
        <w:pStyle w:val="3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调查时间：</w:t>
      </w:r>
      <w:r>
        <w:rPr>
          <w:rFonts w:hint="eastAsia"/>
          <w:lang w:val="en-US" w:eastAsia="zh-CN"/>
        </w:rPr>
        <w:t>2025年6月30日</w:t>
      </w:r>
      <w:r>
        <w:rPr>
          <w:rFonts w:hint="default"/>
          <w:lang w:val="en-US" w:eastAsia="zh-CN"/>
        </w:rPr>
        <w:t>。</w:t>
      </w:r>
    </w:p>
    <w:p w14:paraId="5129B0A4">
      <w:pPr>
        <w:pStyle w:val="3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问卷设计：围绕运维服务核心价值交付过程，服务响应、专业技术、问题解决、沟通协调、服务态度、文档质量、主动服务、整体价值八个评价维度。</w:t>
      </w:r>
    </w:p>
    <w:p w14:paraId="195BF678">
      <w:pPr>
        <w:pStyle w:val="31"/>
        <w:bidi w:val="0"/>
        <w:rPr>
          <w:rFonts w:hint="default"/>
          <w:lang w:val="en-US" w:eastAsia="zh-CN"/>
        </w:rPr>
      </w:pPr>
      <w:bookmarkStart w:id="5" w:name="_Toc32509"/>
      <w:r>
        <w:rPr>
          <w:rFonts w:hint="default"/>
          <w:lang w:val="en-US" w:eastAsia="zh-CN"/>
        </w:rPr>
        <w:t>评价与计分标准</w:t>
      </w:r>
      <w:bookmarkEnd w:id="5"/>
    </w:p>
    <w:p w14:paraId="09190AC3">
      <w:pPr>
        <w:pStyle w:val="3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采用</w:t>
      </w:r>
      <w:r>
        <w:rPr>
          <w:rFonts w:hint="eastAsia"/>
          <w:lang w:val="en-US" w:eastAsia="zh-CN"/>
        </w:rPr>
        <w:t>10</w:t>
      </w:r>
      <w:r>
        <w:rPr>
          <w:rFonts w:hint="default"/>
          <w:lang w:val="en-US" w:eastAsia="zh-CN"/>
        </w:rPr>
        <w:t>分制进行评分：</w:t>
      </w:r>
    </w:p>
    <w:p w14:paraId="3FAA3C54">
      <w:pPr>
        <w:pStyle w:val="3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10</w:t>
      </w:r>
      <w:r>
        <w:rPr>
          <w:rFonts w:hint="default"/>
          <w:lang w:val="en-US" w:eastAsia="zh-CN"/>
        </w:rPr>
        <w:t>分：非常满意</w:t>
      </w:r>
    </w:p>
    <w:p w14:paraId="73212F49">
      <w:pPr>
        <w:pStyle w:val="3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9</w:t>
      </w:r>
      <w:r>
        <w:rPr>
          <w:rFonts w:hint="default"/>
          <w:lang w:val="en-US" w:eastAsia="zh-CN"/>
        </w:rPr>
        <w:t>分：满意</w:t>
      </w:r>
    </w:p>
    <w:p w14:paraId="25E99D34">
      <w:pPr>
        <w:pStyle w:val="3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5-8</w:t>
      </w:r>
      <w:r>
        <w:rPr>
          <w:rFonts w:hint="default"/>
          <w:lang w:val="en-US" w:eastAsia="zh-CN"/>
        </w:rPr>
        <w:t>分：一般</w:t>
      </w:r>
    </w:p>
    <w:p w14:paraId="73B1612E">
      <w:pPr>
        <w:pStyle w:val="3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4-5</w:t>
      </w:r>
      <w:r>
        <w:rPr>
          <w:rFonts w:hint="default"/>
          <w:lang w:val="en-US" w:eastAsia="zh-CN"/>
        </w:rPr>
        <w:t>分：不满意</w:t>
      </w:r>
    </w:p>
    <w:p w14:paraId="7E6A669F">
      <w:pPr>
        <w:pStyle w:val="3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</w:t>
      </w:r>
      <w:r>
        <w:rPr>
          <w:rFonts w:hint="eastAsia"/>
          <w:lang w:val="en-US" w:eastAsia="zh-CN"/>
        </w:rPr>
        <w:t>-3</w:t>
      </w:r>
      <w:r>
        <w:rPr>
          <w:rFonts w:hint="default"/>
          <w:lang w:val="en-US" w:eastAsia="zh-CN"/>
        </w:rPr>
        <w:t>分：非常不满意</w:t>
      </w:r>
    </w:p>
    <w:p w14:paraId="69D9D72E">
      <w:pPr>
        <w:pStyle w:val="3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客户满意度得分计算：</w:t>
      </w:r>
    </w:p>
    <w:p w14:paraId="75F325AA">
      <w:pPr>
        <w:pStyle w:val="3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单个客户满意度=(各维度得分总和 / 问卷总分)×100%</w:t>
      </w:r>
    </w:p>
    <w:p w14:paraId="42E2D5DD">
      <w:pPr>
        <w:pStyle w:val="3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本次整体客户满意度=</w:t>
      </w:r>
      <w:r>
        <w:drawing>
          <wp:inline distT="0" distB="0" distL="114300" distR="114300">
            <wp:extent cx="1847215" cy="255905"/>
            <wp:effectExtent l="0" t="0" r="0" b="2540"/>
            <wp:docPr id="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2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847215" cy="255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BBFE19">
      <w:pPr>
        <w:pStyle w:val="3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达标判定：依据《运维服务能力管理指标体系》，整体满意度目标值为≥90%。</w:t>
      </w:r>
    </w:p>
    <w:p w14:paraId="20C7811C">
      <w:pPr>
        <w:pStyle w:val="29"/>
        <w:bidi w:val="0"/>
        <w:rPr>
          <w:rFonts w:hint="default"/>
          <w:lang w:val="en-US" w:eastAsia="zh-CN"/>
        </w:rPr>
      </w:pPr>
      <w:bookmarkStart w:id="6" w:name="_Toc3821"/>
      <w:r>
        <w:rPr>
          <w:rFonts w:hint="default"/>
          <w:lang w:val="en-US" w:eastAsia="zh-CN"/>
        </w:rPr>
        <w:t>调查结果综合分析</w:t>
      </w:r>
      <w:bookmarkEnd w:id="6"/>
    </w:p>
    <w:tbl>
      <w:tblPr>
        <w:tblStyle w:val="27"/>
        <w:tblW w:w="8309" w:type="dxa"/>
        <w:tblInd w:w="2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23"/>
        <w:gridCol w:w="2927"/>
        <w:gridCol w:w="501"/>
        <w:gridCol w:w="513"/>
        <w:gridCol w:w="466"/>
        <w:gridCol w:w="571"/>
        <w:gridCol w:w="477"/>
        <w:gridCol w:w="451"/>
        <w:gridCol w:w="456"/>
        <w:gridCol w:w="468"/>
        <w:gridCol w:w="756"/>
      </w:tblGrid>
      <w:tr w14:paraId="5065615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8" w:hRule="atLeast"/>
        </w:trPr>
        <w:tc>
          <w:tcPr>
            <w:tcW w:w="723" w:type="dxa"/>
            <w:vMerge w:val="restart"/>
          </w:tcPr>
          <w:p w14:paraId="21BEE5F5">
            <w:pPr>
              <w:spacing w:before="170" w:line="227" w:lineRule="auto"/>
              <w:ind w:left="128"/>
              <w:rPr>
                <w:rFonts w:hint="eastAsia" w:ascii="宋体" w:hAnsi="宋体" w:eastAsia="宋体" w:cs="宋体"/>
                <w:spacing w:val="8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8"/>
                <w:sz w:val="20"/>
                <w:szCs w:val="20"/>
                <w:lang w:val="en-US" w:eastAsia="zh-CN"/>
              </w:rPr>
              <w:t>序号</w:t>
            </w:r>
          </w:p>
        </w:tc>
        <w:tc>
          <w:tcPr>
            <w:tcW w:w="2927" w:type="dxa"/>
            <w:vMerge w:val="restart"/>
          </w:tcPr>
          <w:p w14:paraId="35891A49">
            <w:pPr>
              <w:spacing w:before="170" w:line="227" w:lineRule="auto"/>
              <w:ind w:left="128"/>
              <w:rPr>
                <w:rFonts w:hint="default" w:ascii="宋体" w:hAnsi="宋体" w:eastAsia="宋体" w:cs="宋体"/>
                <w:spacing w:val="8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8"/>
                <w:sz w:val="20"/>
                <w:szCs w:val="20"/>
                <w:lang w:val="en-US" w:eastAsia="zh-CN"/>
              </w:rPr>
              <w:t>客户名称</w:t>
            </w:r>
          </w:p>
        </w:tc>
        <w:tc>
          <w:tcPr>
            <w:tcW w:w="4659" w:type="dxa"/>
            <w:gridSpan w:val="9"/>
          </w:tcPr>
          <w:p w14:paraId="086461F6">
            <w:pPr>
              <w:spacing w:before="171" w:line="267" w:lineRule="exact"/>
              <w:ind w:left="226"/>
              <w:rPr>
                <w:rFonts w:ascii="宋体" w:hAnsi="宋体" w:eastAsia="宋体" w:cs="宋体"/>
                <w:spacing w:val="3"/>
                <w:position w:val="1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pacing w:val="2"/>
                <w:position w:val="1"/>
                <w:sz w:val="20"/>
                <w:szCs w:val="20"/>
                <w:lang w:val="en-US" w:eastAsia="zh-CN"/>
              </w:rPr>
              <w:t>客户满意度情况</w:t>
            </w:r>
          </w:p>
        </w:tc>
      </w:tr>
      <w:tr w14:paraId="31147C3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39" w:hRule="atLeast"/>
        </w:trPr>
        <w:tc>
          <w:tcPr>
            <w:tcW w:w="723" w:type="dxa"/>
            <w:vMerge w:val="continue"/>
          </w:tcPr>
          <w:p w14:paraId="73AF497A">
            <w:pPr>
              <w:spacing w:before="170" w:line="227" w:lineRule="auto"/>
              <w:ind w:left="128"/>
              <w:rPr>
                <w:rFonts w:ascii="宋体" w:hAnsi="宋体" w:eastAsia="宋体" w:cs="宋体"/>
                <w:spacing w:val="8"/>
                <w:sz w:val="20"/>
                <w:szCs w:val="20"/>
              </w:rPr>
            </w:pPr>
          </w:p>
        </w:tc>
        <w:tc>
          <w:tcPr>
            <w:tcW w:w="2927" w:type="dxa"/>
            <w:vMerge w:val="continue"/>
          </w:tcPr>
          <w:p w14:paraId="51FFDCAD">
            <w:pPr>
              <w:spacing w:before="170" w:line="227" w:lineRule="auto"/>
              <w:ind w:left="128"/>
              <w:rPr>
                <w:rFonts w:ascii="宋体" w:hAnsi="宋体" w:eastAsia="宋体" w:cs="宋体"/>
                <w:spacing w:val="8"/>
                <w:sz w:val="20"/>
                <w:szCs w:val="20"/>
              </w:rPr>
            </w:pPr>
          </w:p>
        </w:tc>
        <w:tc>
          <w:tcPr>
            <w:tcW w:w="501" w:type="dxa"/>
            <w:shd w:val="clear" w:color="auto" w:fill="auto"/>
          </w:tcPr>
          <w:p w14:paraId="483F8733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113" w:right="113"/>
              <w:textAlignment w:val="baseline"/>
              <w:rPr>
                <w:lang w:val="en-US" w:eastAsia="en-US"/>
              </w:rPr>
            </w:pPr>
            <w:r>
              <w:rPr>
                <w:rFonts w:hint="default"/>
                <w:lang w:val="en-US" w:eastAsia="zh-CN"/>
              </w:rPr>
              <w:t>服务响应</w:t>
            </w:r>
          </w:p>
        </w:tc>
        <w:tc>
          <w:tcPr>
            <w:tcW w:w="513" w:type="dxa"/>
            <w:shd w:val="clear" w:color="auto" w:fill="auto"/>
          </w:tcPr>
          <w:p w14:paraId="5B275618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113" w:leftChars="0" w:right="113" w:firstLine="0" w:firstLineChars="0"/>
              <w:textAlignment w:val="baseline"/>
              <w:rPr>
                <w:rFonts w:hint="eastAsia" w:eastAsia="宋体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专业技术</w:t>
            </w:r>
          </w:p>
        </w:tc>
        <w:tc>
          <w:tcPr>
            <w:tcW w:w="466" w:type="dxa"/>
            <w:shd w:val="clear" w:color="auto" w:fill="auto"/>
          </w:tcPr>
          <w:p w14:paraId="394E2A2C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113" w:right="113"/>
              <w:textAlignment w:val="baseline"/>
              <w:rPr>
                <w:lang w:val="en-US" w:eastAsia="en-US"/>
              </w:rPr>
            </w:pPr>
            <w:r>
              <w:rPr>
                <w:rFonts w:hint="default"/>
                <w:lang w:val="en-US" w:eastAsia="zh-CN"/>
              </w:rPr>
              <w:t>问题解决</w:t>
            </w:r>
          </w:p>
        </w:tc>
        <w:tc>
          <w:tcPr>
            <w:tcW w:w="571" w:type="dxa"/>
            <w:shd w:val="clear" w:color="auto" w:fill="auto"/>
          </w:tcPr>
          <w:p w14:paraId="402F5D55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113" w:right="113"/>
              <w:textAlignment w:val="baseline"/>
              <w:rPr>
                <w:lang w:val="en-US" w:eastAsia="en-US"/>
              </w:rPr>
            </w:pPr>
            <w:r>
              <w:rPr>
                <w:rFonts w:hint="default"/>
                <w:lang w:val="en-US" w:eastAsia="zh-CN"/>
              </w:rPr>
              <w:t>沟通协调</w:t>
            </w:r>
          </w:p>
        </w:tc>
        <w:tc>
          <w:tcPr>
            <w:tcW w:w="477" w:type="dxa"/>
            <w:shd w:val="clear" w:color="auto" w:fill="auto"/>
          </w:tcPr>
          <w:p w14:paraId="7C1D0C30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113" w:right="113"/>
              <w:textAlignment w:val="baseline"/>
              <w:rPr>
                <w:lang w:val="en-US" w:eastAsia="en-US"/>
              </w:rPr>
            </w:pPr>
            <w:r>
              <w:t>服务态度</w:t>
            </w:r>
          </w:p>
        </w:tc>
        <w:tc>
          <w:tcPr>
            <w:tcW w:w="451" w:type="dxa"/>
            <w:shd w:val="clear" w:color="auto" w:fill="auto"/>
          </w:tcPr>
          <w:p w14:paraId="030B7422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113" w:right="113"/>
              <w:textAlignment w:val="baseline"/>
              <w:rPr>
                <w:lang w:val="en-US" w:eastAsia="en-US"/>
              </w:rPr>
            </w:pPr>
            <w:r>
              <w:rPr>
                <w:rFonts w:hint="default"/>
                <w:lang w:val="en-US" w:eastAsia="zh-CN"/>
              </w:rPr>
              <w:t>文档质量</w:t>
            </w:r>
          </w:p>
        </w:tc>
        <w:tc>
          <w:tcPr>
            <w:tcW w:w="456" w:type="dxa"/>
            <w:shd w:val="clear" w:color="auto" w:fill="auto"/>
          </w:tcPr>
          <w:p w14:paraId="57253917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113" w:right="113"/>
              <w:textAlignment w:val="baseline"/>
              <w:rPr>
                <w:lang w:val="en-US" w:eastAsia="en-US"/>
              </w:rPr>
            </w:pPr>
            <w:r>
              <w:rPr>
                <w:rFonts w:hint="default"/>
                <w:lang w:val="en-US" w:eastAsia="zh-CN"/>
              </w:rPr>
              <w:t>主动服务</w:t>
            </w:r>
          </w:p>
        </w:tc>
        <w:tc>
          <w:tcPr>
            <w:tcW w:w="468" w:type="dxa"/>
          </w:tcPr>
          <w:p w14:paraId="3BE6196C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113" w:right="113"/>
              <w:textAlignment w:val="baseline"/>
            </w:pPr>
            <w:r>
              <w:rPr>
                <w:rFonts w:hint="default"/>
                <w:lang w:val="en-US" w:eastAsia="zh-CN"/>
              </w:rPr>
              <w:t>整体价值</w:t>
            </w:r>
          </w:p>
        </w:tc>
        <w:tc>
          <w:tcPr>
            <w:tcW w:w="756" w:type="dxa"/>
          </w:tcPr>
          <w:p w14:paraId="67EC799B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67" w:lineRule="exact"/>
              <w:ind w:left="0" w:right="0"/>
              <w:jc w:val="center"/>
              <w:textAlignment w:val="baseline"/>
              <w:rPr>
                <w:rFonts w:hint="eastAsia" w:ascii="宋体" w:hAnsi="宋体" w:eastAsia="宋体" w:cs="宋体"/>
                <w:spacing w:val="3"/>
                <w:position w:val="1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3"/>
                <w:position w:val="1"/>
                <w:sz w:val="20"/>
                <w:szCs w:val="20"/>
                <w:lang w:val="en-US" w:eastAsia="zh-CN"/>
              </w:rPr>
              <w:t>合计</w:t>
            </w:r>
          </w:p>
        </w:tc>
      </w:tr>
      <w:tr w14:paraId="64815BB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0" w:hRule="atLeast"/>
        </w:trPr>
        <w:tc>
          <w:tcPr>
            <w:tcW w:w="723" w:type="dxa"/>
          </w:tcPr>
          <w:p w14:paraId="4899A676">
            <w:pPr>
              <w:spacing w:before="170" w:line="227" w:lineRule="auto"/>
              <w:ind w:left="128"/>
              <w:rPr>
                <w:rFonts w:hint="eastAsia" w:ascii="宋体" w:hAnsi="宋体" w:eastAsia="宋体" w:cs="宋体"/>
                <w:spacing w:val="8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8"/>
                <w:sz w:val="20"/>
                <w:szCs w:val="20"/>
                <w:lang w:val="en-US" w:eastAsia="zh-CN"/>
              </w:rPr>
              <w:t>1</w:t>
            </w:r>
          </w:p>
        </w:tc>
        <w:tc>
          <w:tcPr>
            <w:tcW w:w="2927" w:type="dxa"/>
          </w:tcPr>
          <w:p w14:paraId="3FDC598C">
            <w:pPr>
              <w:rPr>
                <w:rFonts w:hint="default" w:ascii="宋体" w:hAnsi="宋体" w:eastAsia="宋体" w:cs="宋体"/>
                <w:sz w:val="16"/>
                <w:szCs w:val="16"/>
                <w:lang w:val="en-US" w:eastAsia="zh-CN"/>
              </w:rPr>
            </w:pPr>
            <w:r>
              <w:rPr>
                <w:sz w:val="18"/>
                <w:szCs w:val="18"/>
              </w:rPr>
              <w:fldChar w:fldCharType="begin"/>
            </w:r>
            <w:r>
              <w:rPr>
                <w:sz w:val="18"/>
                <w:szCs w:val="18"/>
              </w:rPr>
              <w:instrText xml:space="preserve"> HYPERLINK "https://www.qcc.com/firm/94ae27277d8b59eec82a9629e76b4f14.html" \t "https://www.qcc.com/crun/_blank" </w:instrText>
            </w:r>
            <w:r>
              <w:rPr>
                <w:sz w:val="18"/>
                <w:szCs w:val="18"/>
              </w:rPr>
              <w:fldChar w:fldCharType="separate"/>
            </w:r>
            <w:r>
              <w:rPr>
                <w:rFonts w:hint="eastAsia"/>
                <w:sz w:val="18"/>
                <w:szCs w:val="18"/>
              </w:rPr>
              <w:t>桐乡市华通实业有限公司</w:t>
            </w:r>
            <w:r>
              <w:rPr>
                <w:rFonts w:hint="eastAsia"/>
                <w:sz w:val="18"/>
                <w:szCs w:val="18"/>
              </w:rPr>
              <w:fldChar w:fldCharType="end"/>
            </w:r>
          </w:p>
        </w:tc>
        <w:tc>
          <w:tcPr>
            <w:tcW w:w="501" w:type="dxa"/>
          </w:tcPr>
          <w:p w14:paraId="03912A9F">
            <w:r>
              <w:t>10</w:t>
            </w:r>
          </w:p>
        </w:tc>
        <w:tc>
          <w:tcPr>
            <w:tcW w:w="513" w:type="dxa"/>
          </w:tcPr>
          <w:p w14:paraId="68C0EAA2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10</w:t>
            </w:r>
          </w:p>
        </w:tc>
        <w:tc>
          <w:tcPr>
            <w:tcW w:w="466" w:type="dxa"/>
          </w:tcPr>
          <w:p w14:paraId="7E94A468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9</w:t>
            </w:r>
          </w:p>
        </w:tc>
        <w:tc>
          <w:tcPr>
            <w:tcW w:w="571" w:type="dxa"/>
          </w:tcPr>
          <w:p w14:paraId="32E8D297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8</w:t>
            </w:r>
          </w:p>
        </w:tc>
        <w:tc>
          <w:tcPr>
            <w:tcW w:w="477" w:type="dxa"/>
          </w:tcPr>
          <w:p w14:paraId="36D6C111">
            <w:r>
              <w:t>10</w:t>
            </w:r>
          </w:p>
        </w:tc>
        <w:tc>
          <w:tcPr>
            <w:tcW w:w="451" w:type="dxa"/>
          </w:tcPr>
          <w:p w14:paraId="55083865">
            <w:r>
              <w:t>10</w:t>
            </w:r>
          </w:p>
        </w:tc>
        <w:tc>
          <w:tcPr>
            <w:tcW w:w="456" w:type="dxa"/>
          </w:tcPr>
          <w:p w14:paraId="5ACF3DEB">
            <w:r>
              <w:t>9</w:t>
            </w:r>
          </w:p>
        </w:tc>
        <w:tc>
          <w:tcPr>
            <w:tcW w:w="468" w:type="dxa"/>
          </w:tcPr>
          <w:p w14:paraId="3467857C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10</w:t>
            </w:r>
          </w:p>
        </w:tc>
        <w:tc>
          <w:tcPr>
            <w:tcW w:w="756" w:type="dxa"/>
          </w:tcPr>
          <w:p w14:paraId="6D26E071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95%</w:t>
            </w:r>
          </w:p>
        </w:tc>
      </w:tr>
      <w:tr w14:paraId="282240D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7" w:hRule="atLeast"/>
        </w:trPr>
        <w:tc>
          <w:tcPr>
            <w:tcW w:w="723" w:type="dxa"/>
          </w:tcPr>
          <w:p w14:paraId="1C4E0523">
            <w:pPr>
              <w:spacing w:before="128" w:line="227" w:lineRule="auto"/>
              <w:ind w:left="108"/>
              <w:rPr>
                <w:rFonts w:hint="eastAsia" w:ascii="宋体" w:hAnsi="宋体" w:eastAsia="宋体" w:cs="宋体"/>
                <w:spacing w:val="9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9"/>
                <w:sz w:val="20"/>
                <w:szCs w:val="20"/>
                <w:lang w:val="en-US" w:eastAsia="zh-CN"/>
              </w:rPr>
              <w:t>2</w:t>
            </w:r>
          </w:p>
        </w:tc>
        <w:tc>
          <w:tcPr>
            <w:tcW w:w="2927" w:type="dxa"/>
          </w:tcPr>
          <w:p w14:paraId="0191BEE1">
            <w:pPr>
              <w:rPr>
                <w:rFonts w:hint="default" w:ascii="宋体" w:hAnsi="宋体" w:eastAsia="宋体" w:cs="宋体"/>
                <w:sz w:val="16"/>
                <w:szCs w:val="16"/>
                <w:lang w:val="en-US" w:eastAsia="zh-CN"/>
              </w:rPr>
            </w:pPr>
            <w:r>
              <w:rPr>
                <w:sz w:val="18"/>
                <w:szCs w:val="18"/>
              </w:rPr>
              <w:t>乌镇大数据高新技术产业园</w:t>
            </w:r>
          </w:p>
        </w:tc>
        <w:tc>
          <w:tcPr>
            <w:tcW w:w="501" w:type="dxa"/>
          </w:tcPr>
          <w:p w14:paraId="48402DA1">
            <w:r>
              <w:t>10</w:t>
            </w:r>
          </w:p>
        </w:tc>
        <w:tc>
          <w:tcPr>
            <w:tcW w:w="513" w:type="dxa"/>
          </w:tcPr>
          <w:p w14:paraId="2C1C857A">
            <w:r>
              <w:rPr>
                <w:rFonts w:hint="eastAsia"/>
                <w:lang w:val="en-US" w:eastAsia="zh-CN"/>
              </w:rPr>
              <w:t>10</w:t>
            </w:r>
          </w:p>
        </w:tc>
        <w:tc>
          <w:tcPr>
            <w:tcW w:w="466" w:type="dxa"/>
          </w:tcPr>
          <w:p w14:paraId="3ABD50AA">
            <w:r>
              <w:t>9</w:t>
            </w:r>
          </w:p>
        </w:tc>
        <w:tc>
          <w:tcPr>
            <w:tcW w:w="571" w:type="dxa"/>
          </w:tcPr>
          <w:p w14:paraId="06CB4ED2">
            <w:r>
              <w:t>8</w:t>
            </w:r>
          </w:p>
        </w:tc>
        <w:tc>
          <w:tcPr>
            <w:tcW w:w="477" w:type="dxa"/>
          </w:tcPr>
          <w:p w14:paraId="69784560">
            <w:pPr>
              <w:rPr>
                <w:rFonts w:hint="eastAsia" w:eastAsia="宋体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9</w:t>
            </w:r>
          </w:p>
        </w:tc>
        <w:tc>
          <w:tcPr>
            <w:tcW w:w="451" w:type="dxa"/>
          </w:tcPr>
          <w:p w14:paraId="6C80E315">
            <w:r>
              <w:t>10</w:t>
            </w:r>
          </w:p>
        </w:tc>
        <w:tc>
          <w:tcPr>
            <w:tcW w:w="456" w:type="dxa"/>
          </w:tcPr>
          <w:p w14:paraId="23CE3CF4">
            <w:r>
              <w:t>10</w:t>
            </w:r>
          </w:p>
        </w:tc>
        <w:tc>
          <w:tcPr>
            <w:tcW w:w="468" w:type="dxa"/>
          </w:tcPr>
          <w:p w14:paraId="6F9D0737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10</w:t>
            </w:r>
          </w:p>
        </w:tc>
        <w:tc>
          <w:tcPr>
            <w:tcW w:w="756" w:type="dxa"/>
          </w:tcPr>
          <w:p w14:paraId="0DCD921F">
            <w:r>
              <w:rPr>
                <w:rFonts w:hint="eastAsia"/>
                <w:lang w:val="en-US" w:eastAsia="zh-CN"/>
              </w:rPr>
              <w:t>95%</w:t>
            </w:r>
          </w:p>
        </w:tc>
      </w:tr>
      <w:tr w14:paraId="3EFA444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9" w:hRule="atLeast"/>
        </w:trPr>
        <w:tc>
          <w:tcPr>
            <w:tcW w:w="723" w:type="dxa"/>
          </w:tcPr>
          <w:p w14:paraId="59AFDB90">
            <w:pPr>
              <w:spacing w:before="126" w:line="227" w:lineRule="auto"/>
              <w:ind w:left="112"/>
              <w:rPr>
                <w:rFonts w:hint="eastAsia" w:ascii="宋体" w:hAnsi="宋体" w:eastAsia="宋体" w:cs="宋体"/>
                <w:spacing w:val="8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pacing w:val="8"/>
                <w:sz w:val="20"/>
                <w:szCs w:val="20"/>
                <w:lang w:val="en-US" w:eastAsia="zh-CN"/>
              </w:rPr>
              <w:t>3</w:t>
            </w:r>
          </w:p>
        </w:tc>
        <w:tc>
          <w:tcPr>
            <w:tcW w:w="2927" w:type="dxa"/>
          </w:tcPr>
          <w:p w14:paraId="44A4DE90">
            <w:pPr>
              <w:rPr>
                <w:rFonts w:hint="default" w:ascii="宋体" w:hAnsi="宋体" w:eastAsia="宋体" w:cs="宋体"/>
                <w:sz w:val="16"/>
                <w:szCs w:val="16"/>
                <w:lang w:val="en-US" w:eastAsia="zh-CN"/>
              </w:rPr>
            </w:pPr>
            <w:r>
              <w:rPr>
                <w:sz w:val="18"/>
                <w:szCs w:val="18"/>
              </w:rPr>
              <w:fldChar w:fldCharType="begin"/>
            </w:r>
            <w:r>
              <w:rPr>
                <w:sz w:val="18"/>
                <w:szCs w:val="18"/>
              </w:rPr>
              <w:instrText xml:space="preserve"> HYPERLINK "https://www.qcc.com/firm/26593f8aca0bdf63a2f9565ae31eea62.html" \t "https://www.qcc.com/crun/_blank" </w:instrText>
            </w:r>
            <w:r>
              <w:rPr>
                <w:sz w:val="18"/>
                <w:szCs w:val="18"/>
              </w:rPr>
              <w:fldChar w:fldCharType="separate"/>
            </w:r>
            <w:r>
              <w:rPr>
                <w:rFonts w:hint="eastAsia"/>
                <w:sz w:val="18"/>
                <w:szCs w:val="18"/>
              </w:rPr>
              <w:t>中国电信股份有限公司嘉兴分公司</w:t>
            </w:r>
            <w:r>
              <w:rPr>
                <w:rFonts w:hint="eastAsia"/>
                <w:sz w:val="18"/>
                <w:szCs w:val="18"/>
              </w:rPr>
              <w:fldChar w:fldCharType="end"/>
            </w:r>
          </w:p>
        </w:tc>
        <w:tc>
          <w:tcPr>
            <w:tcW w:w="501" w:type="dxa"/>
          </w:tcPr>
          <w:p w14:paraId="50DEC0BD">
            <w:r>
              <w:t>10</w:t>
            </w:r>
          </w:p>
        </w:tc>
        <w:tc>
          <w:tcPr>
            <w:tcW w:w="513" w:type="dxa"/>
          </w:tcPr>
          <w:p w14:paraId="486A8F60">
            <w:r>
              <w:rPr>
                <w:rFonts w:hint="eastAsia"/>
                <w:lang w:val="en-US" w:eastAsia="zh-CN"/>
              </w:rPr>
              <w:t>10</w:t>
            </w:r>
          </w:p>
        </w:tc>
        <w:tc>
          <w:tcPr>
            <w:tcW w:w="466" w:type="dxa"/>
          </w:tcPr>
          <w:p w14:paraId="33E9BFD3">
            <w:r>
              <w:rPr>
                <w:rFonts w:hint="eastAsia"/>
                <w:lang w:val="en-US" w:eastAsia="zh-CN"/>
              </w:rPr>
              <w:t>1</w:t>
            </w:r>
            <w:r>
              <w:t>0</w:t>
            </w:r>
          </w:p>
        </w:tc>
        <w:tc>
          <w:tcPr>
            <w:tcW w:w="571" w:type="dxa"/>
          </w:tcPr>
          <w:p w14:paraId="366D9FC3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9</w:t>
            </w:r>
          </w:p>
        </w:tc>
        <w:tc>
          <w:tcPr>
            <w:tcW w:w="477" w:type="dxa"/>
          </w:tcPr>
          <w:p w14:paraId="4608B577">
            <w:r>
              <w:t>10</w:t>
            </w:r>
          </w:p>
        </w:tc>
        <w:tc>
          <w:tcPr>
            <w:tcW w:w="451" w:type="dxa"/>
          </w:tcPr>
          <w:p w14:paraId="5390A330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10</w:t>
            </w:r>
          </w:p>
        </w:tc>
        <w:tc>
          <w:tcPr>
            <w:tcW w:w="456" w:type="dxa"/>
          </w:tcPr>
          <w:p w14:paraId="2B47D5F3">
            <w:r>
              <w:t>10</w:t>
            </w:r>
          </w:p>
        </w:tc>
        <w:tc>
          <w:tcPr>
            <w:tcW w:w="468" w:type="dxa"/>
          </w:tcPr>
          <w:p w14:paraId="3C9518DB">
            <w:pPr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9</w:t>
            </w:r>
          </w:p>
        </w:tc>
        <w:tc>
          <w:tcPr>
            <w:tcW w:w="756" w:type="dxa"/>
          </w:tcPr>
          <w:p w14:paraId="285A6BB8">
            <w:r>
              <w:rPr>
                <w:rFonts w:hint="eastAsia"/>
                <w:lang w:val="en-US" w:eastAsia="zh-CN"/>
              </w:rPr>
              <w:t>97.5%</w:t>
            </w:r>
          </w:p>
        </w:tc>
      </w:tr>
      <w:tr w14:paraId="74C45A8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9" w:hRule="atLeast"/>
        </w:trPr>
        <w:tc>
          <w:tcPr>
            <w:tcW w:w="723" w:type="dxa"/>
          </w:tcPr>
          <w:p w14:paraId="7DB9D5F3">
            <w:pPr>
              <w:spacing w:before="126" w:line="227" w:lineRule="auto"/>
              <w:ind w:left="112"/>
              <w:rPr>
                <w:rFonts w:hint="default" w:ascii="宋体" w:hAnsi="宋体" w:eastAsia="宋体" w:cs="宋体"/>
                <w:spacing w:val="8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cs="宋体"/>
                <w:spacing w:val="8"/>
                <w:sz w:val="20"/>
                <w:szCs w:val="20"/>
                <w:lang w:val="en-US" w:eastAsia="zh-CN"/>
              </w:rPr>
              <w:t>4</w:t>
            </w:r>
          </w:p>
        </w:tc>
        <w:tc>
          <w:tcPr>
            <w:tcW w:w="2927" w:type="dxa"/>
          </w:tcPr>
          <w:p w14:paraId="74CEE58F">
            <w:pPr>
              <w:rPr>
                <w:rFonts w:hint="default" w:ascii="宋体" w:hAnsi="宋体" w:eastAsia="宋体" w:cs="宋体"/>
                <w:sz w:val="16"/>
                <w:szCs w:val="16"/>
                <w:lang w:val="en-US" w:eastAsia="zh-CN"/>
              </w:rPr>
            </w:pPr>
            <w:r>
              <w:rPr>
                <w:rFonts w:hint="eastAsia"/>
                <w:sz w:val="18"/>
                <w:szCs w:val="18"/>
              </w:rPr>
              <w:t>嘉兴华数广电网络有限公司</w:t>
            </w:r>
          </w:p>
        </w:tc>
        <w:tc>
          <w:tcPr>
            <w:tcW w:w="501" w:type="dxa"/>
          </w:tcPr>
          <w:p w14:paraId="453DB59A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10</w:t>
            </w:r>
          </w:p>
        </w:tc>
        <w:tc>
          <w:tcPr>
            <w:tcW w:w="513" w:type="dxa"/>
          </w:tcPr>
          <w:p w14:paraId="59EF4C63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10</w:t>
            </w:r>
          </w:p>
        </w:tc>
        <w:tc>
          <w:tcPr>
            <w:tcW w:w="466" w:type="dxa"/>
          </w:tcPr>
          <w:p w14:paraId="3AF05D29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10</w:t>
            </w:r>
          </w:p>
        </w:tc>
        <w:tc>
          <w:tcPr>
            <w:tcW w:w="571" w:type="dxa"/>
          </w:tcPr>
          <w:p w14:paraId="61F51EE0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9</w:t>
            </w:r>
          </w:p>
        </w:tc>
        <w:tc>
          <w:tcPr>
            <w:tcW w:w="477" w:type="dxa"/>
          </w:tcPr>
          <w:p w14:paraId="7D170BB7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9</w:t>
            </w:r>
          </w:p>
        </w:tc>
        <w:tc>
          <w:tcPr>
            <w:tcW w:w="451" w:type="dxa"/>
          </w:tcPr>
          <w:p w14:paraId="550B610A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10</w:t>
            </w:r>
          </w:p>
        </w:tc>
        <w:tc>
          <w:tcPr>
            <w:tcW w:w="456" w:type="dxa"/>
          </w:tcPr>
          <w:p w14:paraId="0845FE8D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10</w:t>
            </w:r>
          </w:p>
        </w:tc>
        <w:tc>
          <w:tcPr>
            <w:tcW w:w="468" w:type="dxa"/>
          </w:tcPr>
          <w:p w14:paraId="3926DD50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10</w:t>
            </w:r>
          </w:p>
        </w:tc>
        <w:tc>
          <w:tcPr>
            <w:tcW w:w="756" w:type="dxa"/>
          </w:tcPr>
          <w:p w14:paraId="4930E53A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97.5%</w:t>
            </w:r>
          </w:p>
        </w:tc>
      </w:tr>
      <w:tr w14:paraId="63C9996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9" w:hRule="atLeast"/>
        </w:trPr>
        <w:tc>
          <w:tcPr>
            <w:tcW w:w="723" w:type="dxa"/>
          </w:tcPr>
          <w:p w14:paraId="48B6E940">
            <w:pPr>
              <w:spacing w:before="126" w:line="227" w:lineRule="auto"/>
              <w:ind w:left="112"/>
              <w:rPr>
                <w:rFonts w:hint="default" w:ascii="宋体" w:hAnsi="宋体" w:cs="宋体"/>
                <w:spacing w:val="8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cs="宋体"/>
                <w:spacing w:val="8"/>
                <w:sz w:val="20"/>
                <w:szCs w:val="20"/>
                <w:lang w:val="en-US" w:eastAsia="zh-CN"/>
              </w:rPr>
              <w:t>5</w:t>
            </w:r>
          </w:p>
        </w:tc>
        <w:tc>
          <w:tcPr>
            <w:tcW w:w="2927" w:type="dxa"/>
          </w:tcPr>
          <w:p w14:paraId="70FA90F4">
            <w:pPr>
              <w:rPr>
                <w:rFonts w:hint="default" w:ascii="宋体" w:hAnsi="宋体" w:eastAsia="宋体" w:cs="宋体"/>
                <w:sz w:val="16"/>
                <w:szCs w:val="16"/>
                <w:lang w:val="en-US" w:eastAsia="zh-CN"/>
              </w:rPr>
            </w:pPr>
            <w:r>
              <w:rPr>
                <w:sz w:val="18"/>
                <w:szCs w:val="18"/>
              </w:rPr>
              <w:fldChar w:fldCharType="begin"/>
            </w:r>
            <w:r>
              <w:rPr>
                <w:sz w:val="18"/>
                <w:szCs w:val="18"/>
              </w:rPr>
              <w:instrText xml:space="preserve"> HYPERLINK "https://www.qcc.com/firm/g21f0dafbd8e32355e7f372629be38c9.html" \t "https://www.qcc.com/crun/_blank" </w:instrText>
            </w:r>
            <w:r>
              <w:rPr>
                <w:sz w:val="18"/>
                <w:szCs w:val="18"/>
              </w:rPr>
              <w:fldChar w:fldCharType="separate"/>
            </w:r>
            <w:r>
              <w:rPr>
                <w:rFonts w:hint="eastAsia"/>
                <w:sz w:val="18"/>
                <w:szCs w:val="18"/>
              </w:rPr>
              <w:t>桐乡市文化和广电旅游体育局</w:t>
            </w:r>
            <w:r>
              <w:rPr>
                <w:rFonts w:hint="eastAsia"/>
                <w:sz w:val="18"/>
                <w:szCs w:val="18"/>
              </w:rPr>
              <w:fldChar w:fldCharType="end"/>
            </w:r>
          </w:p>
        </w:tc>
        <w:tc>
          <w:tcPr>
            <w:tcW w:w="501" w:type="dxa"/>
          </w:tcPr>
          <w:p w14:paraId="60339931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10</w:t>
            </w:r>
          </w:p>
        </w:tc>
        <w:tc>
          <w:tcPr>
            <w:tcW w:w="513" w:type="dxa"/>
          </w:tcPr>
          <w:p w14:paraId="348E4724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10</w:t>
            </w:r>
          </w:p>
        </w:tc>
        <w:tc>
          <w:tcPr>
            <w:tcW w:w="466" w:type="dxa"/>
          </w:tcPr>
          <w:p w14:paraId="020CFFF5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10</w:t>
            </w:r>
          </w:p>
        </w:tc>
        <w:tc>
          <w:tcPr>
            <w:tcW w:w="571" w:type="dxa"/>
          </w:tcPr>
          <w:p w14:paraId="397181E8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9</w:t>
            </w:r>
          </w:p>
        </w:tc>
        <w:tc>
          <w:tcPr>
            <w:tcW w:w="477" w:type="dxa"/>
          </w:tcPr>
          <w:p w14:paraId="2706EB2E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10</w:t>
            </w:r>
          </w:p>
        </w:tc>
        <w:tc>
          <w:tcPr>
            <w:tcW w:w="451" w:type="dxa"/>
          </w:tcPr>
          <w:p w14:paraId="462140F9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10</w:t>
            </w:r>
          </w:p>
        </w:tc>
        <w:tc>
          <w:tcPr>
            <w:tcW w:w="456" w:type="dxa"/>
          </w:tcPr>
          <w:p w14:paraId="0A48B6B1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10</w:t>
            </w:r>
          </w:p>
        </w:tc>
        <w:tc>
          <w:tcPr>
            <w:tcW w:w="468" w:type="dxa"/>
          </w:tcPr>
          <w:p w14:paraId="49D430AD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10</w:t>
            </w:r>
          </w:p>
        </w:tc>
        <w:tc>
          <w:tcPr>
            <w:tcW w:w="756" w:type="dxa"/>
          </w:tcPr>
          <w:p w14:paraId="032DFA60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98.7%</w:t>
            </w:r>
          </w:p>
        </w:tc>
      </w:tr>
      <w:tr w14:paraId="0F10293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9" w:hRule="atLeast"/>
        </w:trPr>
        <w:tc>
          <w:tcPr>
            <w:tcW w:w="723" w:type="dxa"/>
          </w:tcPr>
          <w:p w14:paraId="0215A710">
            <w:pPr>
              <w:spacing w:before="126" w:line="227" w:lineRule="auto"/>
              <w:ind w:left="112"/>
              <w:rPr>
                <w:rFonts w:hint="default" w:ascii="宋体" w:hAnsi="宋体" w:cs="宋体"/>
                <w:spacing w:val="8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cs="宋体"/>
                <w:spacing w:val="8"/>
                <w:sz w:val="20"/>
                <w:szCs w:val="20"/>
                <w:lang w:val="en-US" w:eastAsia="zh-CN"/>
              </w:rPr>
              <w:t>6</w:t>
            </w:r>
          </w:p>
        </w:tc>
        <w:tc>
          <w:tcPr>
            <w:tcW w:w="2927" w:type="dxa"/>
          </w:tcPr>
          <w:p w14:paraId="7A188A27">
            <w:pPr>
              <w:rPr>
                <w:rFonts w:hint="default" w:ascii="宋体" w:hAnsi="宋体" w:eastAsia="宋体" w:cs="宋体"/>
                <w:sz w:val="16"/>
                <w:szCs w:val="16"/>
                <w:lang w:val="en-US" w:eastAsia="zh-CN"/>
              </w:rPr>
            </w:pPr>
            <w:r>
              <w:rPr>
                <w:sz w:val="18"/>
                <w:szCs w:val="18"/>
              </w:rPr>
              <w:fldChar w:fldCharType="begin"/>
            </w:r>
            <w:r>
              <w:rPr>
                <w:sz w:val="18"/>
                <w:szCs w:val="18"/>
              </w:rPr>
              <w:instrText xml:space="preserve"> HYPERLINK "https://www.qcc.com/firm/d584e4fa8f190240ffdef0f7d5f114c8.html" \t "https://www.qcc.com/crun/_blank" </w:instrText>
            </w:r>
            <w:r>
              <w:rPr>
                <w:sz w:val="18"/>
                <w:szCs w:val="18"/>
              </w:rPr>
              <w:fldChar w:fldCharType="separate"/>
            </w:r>
            <w:r>
              <w:rPr>
                <w:rFonts w:hint="eastAsia"/>
                <w:sz w:val="18"/>
                <w:szCs w:val="18"/>
              </w:rPr>
              <w:t>桐乡市濮院镇新农村建设开发有限公司</w:t>
            </w:r>
            <w:r>
              <w:rPr>
                <w:rFonts w:hint="eastAsia"/>
                <w:sz w:val="18"/>
                <w:szCs w:val="18"/>
              </w:rPr>
              <w:fldChar w:fldCharType="end"/>
            </w:r>
          </w:p>
        </w:tc>
        <w:tc>
          <w:tcPr>
            <w:tcW w:w="501" w:type="dxa"/>
          </w:tcPr>
          <w:p w14:paraId="6974A8CC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10</w:t>
            </w:r>
          </w:p>
        </w:tc>
        <w:tc>
          <w:tcPr>
            <w:tcW w:w="513" w:type="dxa"/>
          </w:tcPr>
          <w:p w14:paraId="6CAF6FAB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10</w:t>
            </w:r>
          </w:p>
        </w:tc>
        <w:tc>
          <w:tcPr>
            <w:tcW w:w="466" w:type="dxa"/>
          </w:tcPr>
          <w:p w14:paraId="06ABFC92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9</w:t>
            </w:r>
          </w:p>
        </w:tc>
        <w:tc>
          <w:tcPr>
            <w:tcW w:w="571" w:type="dxa"/>
          </w:tcPr>
          <w:p w14:paraId="27BB896A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10</w:t>
            </w:r>
          </w:p>
        </w:tc>
        <w:tc>
          <w:tcPr>
            <w:tcW w:w="477" w:type="dxa"/>
          </w:tcPr>
          <w:p w14:paraId="1E679C3E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10</w:t>
            </w:r>
          </w:p>
        </w:tc>
        <w:tc>
          <w:tcPr>
            <w:tcW w:w="451" w:type="dxa"/>
          </w:tcPr>
          <w:p w14:paraId="037603BE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10</w:t>
            </w:r>
          </w:p>
        </w:tc>
        <w:tc>
          <w:tcPr>
            <w:tcW w:w="456" w:type="dxa"/>
          </w:tcPr>
          <w:p w14:paraId="428381CE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9</w:t>
            </w:r>
          </w:p>
        </w:tc>
        <w:tc>
          <w:tcPr>
            <w:tcW w:w="468" w:type="dxa"/>
          </w:tcPr>
          <w:p w14:paraId="4B9867D9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10</w:t>
            </w:r>
          </w:p>
        </w:tc>
        <w:tc>
          <w:tcPr>
            <w:tcW w:w="756" w:type="dxa"/>
          </w:tcPr>
          <w:p w14:paraId="6382DF2C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97.5%</w:t>
            </w:r>
          </w:p>
        </w:tc>
      </w:tr>
      <w:tr w14:paraId="1E5597E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9" w:hRule="atLeast"/>
        </w:trPr>
        <w:tc>
          <w:tcPr>
            <w:tcW w:w="723" w:type="dxa"/>
          </w:tcPr>
          <w:p w14:paraId="695F974C">
            <w:pPr>
              <w:spacing w:before="126" w:line="227" w:lineRule="auto"/>
              <w:ind w:left="112"/>
              <w:rPr>
                <w:rFonts w:hint="default" w:ascii="宋体" w:hAnsi="宋体" w:cs="宋体"/>
                <w:spacing w:val="8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cs="宋体"/>
                <w:spacing w:val="8"/>
                <w:sz w:val="20"/>
                <w:szCs w:val="20"/>
                <w:lang w:val="en-US" w:eastAsia="zh-CN"/>
              </w:rPr>
              <w:t>7</w:t>
            </w:r>
          </w:p>
        </w:tc>
        <w:tc>
          <w:tcPr>
            <w:tcW w:w="2927" w:type="dxa"/>
          </w:tcPr>
          <w:p w14:paraId="642473D7">
            <w:pPr>
              <w:rPr>
                <w:rFonts w:hint="default" w:ascii="宋体" w:hAnsi="宋体" w:eastAsia="宋体" w:cs="宋体"/>
                <w:sz w:val="16"/>
                <w:szCs w:val="16"/>
                <w:lang w:val="en-US" w:eastAsia="zh-CN"/>
              </w:rPr>
            </w:pPr>
            <w:r>
              <w:rPr>
                <w:sz w:val="18"/>
                <w:szCs w:val="18"/>
              </w:rPr>
              <w:t>桐乡市濮院镇红旗漾股份经济合作社</w:t>
            </w:r>
          </w:p>
        </w:tc>
        <w:tc>
          <w:tcPr>
            <w:tcW w:w="501" w:type="dxa"/>
          </w:tcPr>
          <w:p w14:paraId="7A5E2269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10</w:t>
            </w:r>
          </w:p>
        </w:tc>
        <w:tc>
          <w:tcPr>
            <w:tcW w:w="513" w:type="dxa"/>
          </w:tcPr>
          <w:p w14:paraId="4BAAD64F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10</w:t>
            </w:r>
          </w:p>
        </w:tc>
        <w:tc>
          <w:tcPr>
            <w:tcW w:w="466" w:type="dxa"/>
          </w:tcPr>
          <w:p w14:paraId="294686BD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9</w:t>
            </w:r>
          </w:p>
        </w:tc>
        <w:tc>
          <w:tcPr>
            <w:tcW w:w="571" w:type="dxa"/>
          </w:tcPr>
          <w:p w14:paraId="4839753C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10</w:t>
            </w:r>
          </w:p>
        </w:tc>
        <w:tc>
          <w:tcPr>
            <w:tcW w:w="477" w:type="dxa"/>
          </w:tcPr>
          <w:p w14:paraId="224B7AEF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10</w:t>
            </w:r>
          </w:p>
        </w:tc>
        <w:tc>
          <w:tcPr>
            <w:tcW w:w="451" w:type="dxa"/>
          </w:tcPr>
          <w:p w14:paraId="4E6809A4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10</w:t>
            </w:r>
          </w:p>
        </w:tc>
        <w:tc>
          <w:tcPr>
            <w:tcW w:w="456" w:type="dxa"/>
          </w:tcPr>
          <w:p w14:paraId="62AFE4A7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10</w:t>
            </w:r>
          </w:p>
        </w:tc>
        <w:tc>
          <w:tcPr>
            <w:tcW w:w="468" w:type="dxa"/>
          </w:tcPr>
          <w:p w14:paraId="279B1759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10</w:t>
            </w:r>
          </w:p>
        </w:tc>
        <w:tc>
          <w:tcPr>
            <w:tcW w:w="756" w:type="dxa"/>
          </w:tcPr>
          <w:p w14:paraId="276D5EBF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98.7%</w:t>
            </w:r>
          </w:p>
        </w:tc>
      </w:tr>
      <w:tr w14:paraId="4FE8E1E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9" w:hRule="atLeast"/>
        </w:trPr>
        <w:tc>
          <w:tcPr>
            <w:tcW w:w="723" w:type="dxa"/>
          </w:tcPr>
          <w:p w14:paraId="71B637B6">
            <w:pPr>
              <w:spacing w:before="126" w:line="227" w:lineRule="auto"/>
              <w:ind w:left="112"/>
              <w:rPr>
                <w:rFonts w:hint="default" w:ascii="宋体" w:hAnsi="宋体" w:cs="宋体"/>
                <w:spacing w:val="8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cs="宋体"/>
                <w:spacing w:val="8"/>
                <w:sz w:val="20"/>
                <w:szCs w:val="20"/>
                <w:lang w:val="en-US" w:eastAsia="zh-CN"/>
              </w:rPr>
              <w:t>8</w:t>
            </w:r>
          </w:p>
        </w:tc>
        <w:tc>
          <w:tcPr>
            <w:tcW w:w="2927" w:type="dxa"/>
          </w:tcPr>
          <w:p w14:paraId="2A8C4F33">
            <w:pPr>
              <w:rPr>
                <w:rFonts w:hint="default" w:ascii="宋体" w:hAnsi="宋体" w:eastAsia="宋体" w:cs="宋体"/>
                <w:sz w:val="16"/>
                <w:szCs w:val="16"/>
                <w:lang w:val="en-US" w:eastAsia="zh-CN"/>
              </w:rPr>
            </w:pPr>
            <w:r>
              <w:rPr>
                <w:sz w:val="18"/>
                <w:szCs w:val="18"/>
              </w:rPr>
              <w:t>桐乡市崇福镇茅桥埭股份经济合作社</w:t>
            </w:r>
          </w:p>
        </w:tc>
        <w:tc>
          <w:tcPr>
            <w:tcW w:w="501" w:type="dxa"/>
          </w:tcPr>
          <w:p w14:paraId="538CA979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10</w:t>
            </w:r>
          </w:p>
        </w:tc>
        <w:tc>
          <w:tcPr>
            <w:tcW w:w="513" w:type="dxa"/>
          </w:tcPr>
          <w:p w14:paraId="1443B9D7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10</w:t>
            </w:r>
          </w:p>
        </w:tc>
        <w:tc>
          <w:tcPr>
            <w:tcW w:w="466" w:type="dxa"/>
          </w:tcPr>
          <w:p w14:paraId="033CEDE8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8</w:t>
            </w:r>
          </w:p>
        </w:tc>
        <w:tc>
          <w:tcPr>
            <w:tcW w:w="571" w:type="dxa"/>
          </w:tcPr>
          <w:p w14:paraId="1CA5AC03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9</w:t>
            </w:r>
          </w:p>
        </w:tc>
        <w:tc>
          <w:tcPr>
            <w:tcW w:w="477" w:type="dxa"/>
          </w:tcPr>
          <w:p w14:paraId="39F98A8C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10</w:t>
            </w:r>
          </w:p>
        </w:tc>
        <w:tc>
          <w:tcPr>
            <w:tcW w:w="451" w:type="dxa"/>
          </w:tcPr>
          <w:p w14:paraId="7D7D0222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10</w:t>
            </w:r>
          </w:p>
        </w:tc>
        <w:tc>
          <w:tcPr>
            <w:tcW w:w="456" w:type="dxa"/>
          </w:tcPr>
          <w:p w14:paraId="0C285B1B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10</w:t>
            </w:r>
          </w:p>
        </w:tc>
        <w:tc>
          <w:tcPr>
            <w:tcW w:w="468" w:type="dxa"/>
          </w:tcPr>
          <w:p w14:paraId="195173AF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10</w:t>
            </w:r>
          </w:p>
        </w:tc>
        <w:tc>
          <w:tcPr>
            <w:tcW w:w="756" w:type="dxa"/>
          </w:tcPr>
          <w:p w14:paraId="7B86E41B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96.3%</w:t>
            </w:r>
          </w:p>
        </w:tc>
      </w:tr>
      <w:tr w14:paraId="75E5A88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3" w:hRule="atLeast"/>
        </w:trPr>
        <w:tc>
          <w:tcPr>
            <w:tcW w:w="723" w:type="dxa"/>
          </w:tcPr>
          <w:p w14:paraId="4D2179DC">
            <w:pPr>
              <w:spacing w:before="126" w:line="227" w:lineRule="auto"/>
              <w:ind w:left="112"/>
              <w:rPr>
                <w:rFonts w:hint="default" w:ascii="宋体" w:hAnsi="宋体" w:eastAsia="宋体" w:cs="宋体"/>
                <w:spacing w:val="8"/>
                <w:sz w:val="20"/>
                <w:szCs w:val="20"/>
                <w:lang w:val="en-US" w:eastAsia="zh-CN"/>
              </w:rPr>
            </w:pPr>
          </w:p>
        </w:tc>
        <w:tc>
          <w:tcPr>
            <w:tcW w:w="2927" w:type="dxa"/>
          </w:tcPr>
          <w:p w14:paraId="3FFC7ACE">
            <w:pPr>
              <w:spacing w:before="126" w:line="227" w:lineRule="auto"/>
              <w:ind w:left="112"/>
              <w:rPr>
                <w:rFonts w:hint="default" w:ascii="宋体" w:hAnsi="宋体" w:eastAsia="宋体" w:cs="宋体"/>
                <w:sz w:val="16"/>
                <w:szCs w:val="16"/>
                <w:lang w:val="en-US" w:eastAsia="zh-CN"/>
              </w:rPr>
            </w:pPr>
            <w:r>
              <w:rPr>
                <w:rFonts w:hint="eastAsia" w:ascii="宋体" w:hAnsi="宋体" w:cs="宋体"/>
                <w:sz w:val="16"/>
                <w:szCs w:val="16"/>
                <w:lang w:val="en-US" w:eastAsia="zh-CN"/>
              </w:rPr>
              <w:t>满意度占比</w:t>
            </w:r>
          </w:p>
        </w:tc>
        <w:tc>
          <w:tcPr>
            <w:tcW w:w="501" w:type="dxa"/>
            <w:vAlign w:val="center"/>
          </w:tcPr>
          <w:p w14:paraId="1D7159ED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100%</w:t>
            </w:r>
          </w:p>
        </w:tc>
        <w:tc>
          <w:tcPr>
            <w:tcW w:w="513" w:type="dxa"/>
            <w:vAlign w:val="center"/>
          </w:tcPr>
          <w:p w14:paraId="1FAD48E5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100%</w:t>
            </w:r>
          </w:p>
        </w:tc>
        <w:tc>
          <w:tcPr>
            <w:tcW w:w="466" w:type="dxa"/>
            <w:vAlign w:val="center"/>
          </w:tcPr>
          <w:p w14:paraId="2E2ADBE4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92.5% </w:t>
            </w:r>
          </w:p>
        </w:tc>
        <w:tc>
          <w:tcPr>
            <w:tcW w:w="571" w:type="dxa"/>
            <w:vAlign w:val="center"/>
          </w:tcPr>
          <w:p w14:paraId="4223AF06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90%</w:t>
            </w:r>
          </w:p>
        </w:tc>
        <w:tc>
          <w:tcPr>
            <w:tcW w:w="477" w:type="dxa"/>
            <w:vAlign w:val="center"/>
          </w:tcPr>
          <w:p w14:paraId="7C3FBEDD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97.5%</w:t>
            </w:r>
          </w:p>
        </w:tc>
        <w:tc>
          <w:tcPr>
            <w:tcW w:w="451" w:type="dxa"/>
            <w:vAlign w:val="center"/>
          </w:tcPr>
          <w:p w14:paraId="6ACF12C6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100%</w:t>
            </w:r>
          </w:p>
        </w:tc>
        <w:tc>
          <w:tcPr>
            <w:tcW w:w="456" w:type="dxa"/>
            <w:vAlign w:val="center"/>
          </w:tcPr>
          <w:p w14:paraId="7B968157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97.5%</w:t>
            </w:r>
          </w:p>
        </w:tc>
        <w:tc>
          <w:tcPr>
            <w:tcW w:w="468" w:type="dxa"/>
          </w:tcPr>
          <w:p w14:paraId="6932F308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98.7%</w:t>
            </w:r>
          </w:p>
        </w:tc>
        <w:tc>
          <w:tcPr>
            <w:tcW w:w="756" w:type="dxa"/>
          </w:tcPr>
          <w:p w14:paraId="417BC401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97%</w:t>
            </w:r>
          </w:p>
        </w:tc>
      </w:tr>
    </w:tbl>
    <w:p w14:paraId="67892CFC">
      <w:pPr>
        <w:pStyle w:val="31"/>
        <w:bidi w:val="0"/>
        <w:rPr>
          <w:rFonts w:hint="default"/>
          <w:lang w:val="en-US" w:eastAsia="zh-CN"/>
        </w:rPr>
      </w:pPr>
      <w:bookmarkStart w:id="7" w:name="_Toc24775"/>
      <w:r>
        <w:rPr>
          <w:rFonts w:hint="default"/>
          <w:lang w:val="en-US" w:eastAsia="zh-CN"/>
        </w:rPr>
        <w:t>整体满意度结果</w:t>
      </w:r>
      <w:bookmarkEnd w:id="7"/>
    </w:p>
    <w:p w14:paraId="136852C6">
      <w:pPr>
        <w:pStyle w:val="3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本次调查的整体客户满意度得分为</w:t>
      </w:r>
      <w:r>
        <w:rPr>
          <w:rFonts w:hint="eastAsia"/>
          <w:lang w:val="en-US" w:eastAsia="zh-CN"/>
        </w:rPr>
        <w:t>97%，</w:t>
      </w:r>
      <w:r>
        <w:rPr>
          <w:rFonts w:hint="default"/>
          <w:lang w:val="en-US" w:eastAsia="zh-CN"/>
        </w:rPr>
        <w:t>超过公司设定的年度目标值，表明客户对公司上半年运维服务的总体评价为“满意”。</w:t>
      </w:r>
    </w:p>
    <w:p w14:paraId="6735E354">
      <w:pPr>
        <w:pStyle w:val="31"/>
        <w:bidi w:val="0"/>
        <w:rPr>
          <w:rFonts w:hint="default"/>
          <w:lang w:val="en-US" w:eastAsia="zh-CN"/>
        </w:rPr>
      </w:pPr>
      <w:bookmarkStart w:id="8" w:name="_Toc18347"/>
      <w:r>
        <w:rPr>
          <w:rFonts w:hint="default"/>
          <w:lang w:val="en-US" w:eastAsia="zh-CN"/>
        </w:rPr>
        <w:t>各维度满意度分析</w:t>
      </w:r>
      <w:bookmarkEnd w:id="8"/>
    </w:p>
    <w:p w14:paraId="66D78F0B">
      <w:pPr>
        <w:pStyle w:val="3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通过收集的满意度调查表分析得出，客户对沟通协调方面满意度较低，在下一阶段应加强客户满意度调查管理制度的培训。质量相关部门加强监督。</w:t>
      </w:r>
    </w:p>
    <w:p w14:paraId="4730F1BB">
      <w:pPr>
        <w:pStyle w:val="29"/>
        <w:bidi w:val="0"/>
        <w:rPr>
          <w:rFonts w:hint="default"/>
          <w:lang w:val="en-US" w:eastAsia="zh-CN"/>
        </w:rPr>
      </w:pPr>
      <w:bookmarkStart w:id="9" w:name="_Toc6485"/>
      <w:r>
        <w:rPr>
          <w:rFonts w:hint="default"/>
          <w:lang w:val="en-US" w:eastAsia="zh-CN"/>
        </w:rPr>
        <w:t>结论与总结</w:t>
      </w:r>
      <w:bookmarkEnd w:id="9"/>
    </w:p>
    <w:p w14:paraId="47D5AA8D">
      <w:pPr>
        <w:pStyle w:val="31"/>
        <w:bidi w:val="0"/>
        <w:rPr>
          <w:rFonts w:hint="default"/>
          <w:lang w:val="en-US" w:eastAsia="zh-CN"/>
        </w:rPr>
      </w:pPr>
      <w:bookmarkStart w:id="10" w:name="_Toc32325"/>
      <w:r>
        <w:rPr>
          <w:rFonts w:hint="eastAsia"/>
          <w:lang w:val="en-US" w:eastAsia="zh-CN"/>
        </w:rPr>
        <w:t>上半年工作总结</w:t>
      </w:r>
      <w:bookmarkEnd w:id="10"/>
    </w:p>
    <w:p w14:paraId="561A5175">
      <w:pPr>
        <w:pStyle w:val="3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本次客户满意度调查结果表明，公司2025年上半年的运维服务整体上获得了客户的广泛认可，尤其在服务态度与响应</w:t>
      </w:r>
      <w:bookmarkStart w:id="12" w:name="_GoBack"/>
      <w:bookmarkEnd w:id="12"/>
      <w:r>
        <w:rPr>
          <w:rFonts w:hint="default"/>
          <w:lang w:val="en-US" w:eastAsia="zh-CN"/>
        </w:rPr>
        <w:t>速度方面表现突出，达到了年度质量目标。</w:t>
      </w:r>
    </w:p>
    <w:p w14:paraId="46DEE2BB">
      <w:pPr>
        <w:pStyle w:val="3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调查同时揭示了在“沟通</w:t>
      </w:r>
      <w:r>
        <w:rPr>
          <w:rFonts w:hint="eastAsia"/>
          <w:lang w:val="en-US" w:eastAsia="zh-CN"/>
        </w:rPr>
        <w:t>协调</w:t>
      </w:r>
      <w:r>
        <w:rPr>
          <w:rFonts w:hint="default"/>
          <w:lang w:val="en-US" w:eastAsia="zh-CN"/>
        </w:rPr>
        <w:t>”方面存在的提升空间。针对识别出的不满意项与改进建议，质量管理部已协同运维部制定了明确的改进计划。</w:t>
      </w:r>
    </w:p>
    <w:p w14:paraId="31F8A9A3">
      <w:pPr>
        <w:pStyle w:val="3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由质量管理部和运维部加强监督，并由人力资源部对《满意度管理制度》和《沟通管理制度》进行宣贯</w:t>
      </w:r>
    </w:p>
    <w:p w14:paraId="2A92B76C">
      <w:pPr>
        <w:pStyle w:val="31"/>
        <w:bidi w:val="0"/>
        <w:rPr>
          <w:rFonts w:hint="default"/>
          <w:lang w:val="en-US" w:eastAsia="zh-CN"/>
        </w:rPr>
      </w:pPr>
      <w:bookmarkStart w:id="11" w:name="_Toc15072"/>
      <w:r>
        <w:rPr>
          <w:rFonts w:hint="default"/>
          <w:lang w:val="en-US" w:eastAsia="zh-CN"/>
        </w:rPr>
        <w:t>下一步工作</w:t>
      </w:r>
      <w:bookmarkEnd w:id="11"/>
    </w:p>
    <w:p w14:paraId="6E94CC61">
      <w:pPr>
        <w:pStyle w:val="3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将本报告及改进计划提交至管理评审会议。</w:t>
      </w:r>
    </w:p>
    <w:p w14:paraId="75354712">
      <w:pPr>
        <w:pStyle w:val="3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由质量管理部跟踪上述改进措施的实施进度与效果，并在年末的满意度调查中进行针对性回访与效果验证。</w:t>
      </w:r>
    </w:p>
    <w:p w14:paraId="392078E3">
      <w:pPr>
        <w:pStyle w:val="3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将持续的客户声音反馈机制融入日常服务流程，变“定期调查”为“持续感知”，推动服务质量螺旋上升。</w:t>
      </w:r>
    </w:p>
    <w:sectPr>
      <w:headerReference r:id="rId5" w:type="default"/>
      <w:footerReference r:id="rId6" w:type="default"/>
      <w:pgSz w:w="11906" w:h="16838"/>
      <w:pgMar w:top="1417" w:right="1800" w:bottom="1440" w:left="1800" w:header="1140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28C64C9">
    <w:pPr>
      <w:spacing w:line="232" w:lineRule="auto"/>
      <w:ind w:left="4345"/>
      <w:rPr>
        <w:rFonts w:ascii="宋体" w:hAnsi="宋体" w:eastAsia="宋体" w:cs="宋体"/>
        <w:sz w:val="21"/>
        <w:szCs w:val="21"/>
      </w:rPr>
    </w:pPr>
    <w:r>
      <w:rPr>
        <w:rFonts w:ascii="宋体" w:hAnsi="宋体" w:eastAsia="宋体" w:cs="宋体"/>
        <w:sz w:val="21"/>
        <w:szCs w:val="21"/>
      </w:rPr>
      <w:t>2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8088D10">
    <w:pPr>
      <w:pStyle w:val="15"/>
      <w:pBdr>
        <w:bottom w:val="single" w:color="auto" w:sz="4" w:space="1"/>
      </w:pBdr>
      <w:tabs>
        <w:tab w:val="left" w:pos="335"/>
        <w:tab w:val="right" w:pos="8426"/>
      </w:tabs>
      <w:jc w:val="right"/>
      <w:rPr>
        <w:rFonts w:hint="eastAsia" w:eastAsiaTheme="minorEastAsia"/>
        <w:lang w:eastAsia="zh-CN"/>
      </w:rPr>
    </w:pPr>
    <w:r>
      <w:rPr>
        <w:rFonts w:hint="eastAsia" w:eastAsiaTheme="minorEastAsia"/>
        <w:lang w:val="en-US" w:eastAsia="zh-CN"/>
      </w:rPr>
      <w:tab/>
    </w:r>
    <w:r>
      <w:rPr>
        <w:rFonts w:hint="eastAsia" w:eastAsiaTheme="minorEastAsia"/>
        <w:lang w:val="en-US" w:eastAsia="zh-CN"/>
      </w:rPr>
      <w:tab/>
    </w:r>
    <w:r>
      <w:rPr>
        <w:rFonts w:hint="eastAsia" w:eastAsiaTheme="minorEastAsia"/>
        <w:lang w:val="en-US" w:eastAsia="zh-CN"/>
      </w:rPr>
      <w:t>桐乡华数广电网络有限公司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964DCE"/>
    <w:multiLevelType w:val="multilevel"/>
    <w:tmpl w:val="8E964DCE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doNotTrackMoves/>
  <w:documentProtection w:enforcement="0"/>
  <w:defaultTabStop w:val="420"/>
  <w:drawingGridVerticalSpacing w:val="156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3E4C37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hAnsi="Arial" w:eastAsia="宋体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22">
    <w:name w:val="Default Paragraph Font"/>
    <w:semiHidden/>
    <w:qFormat/>
    <w:uiPriority w:val="0"/>
  </w:style>
  <w:style w:type="table" w:default="1" w:styleId="2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qFormat/>
    <w:uiPriority w:val="0"/>
    <w:pPr>
      <w:jc w:val="left"/>
    </w:pPr>
  </w:style>
  <w:style w:type="paragraph" w:styleId="1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13">
    <w:name w:val="toc 3"/>
    <w:basedOn w:val="1"/>
    <w:next w:val="1"/>
    <w:qFormat/>
    <w:uiPriority w:val="0"/>
    <w:pPr>
      <w:ind w:left="840" w:leftChars="400"/>
    </w:pPr>
  </w:style>
  <w:style w:type="paragraph" w:styleId="1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5">
    <w:name w:val="header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6">
    <w:name w:val="toc 1"/>
    <w:basedOn w:val="1"/>
    <w:next w:val="1"/>
    <w:qFormat/>
    <w:uiPriority w:val="0"/>
    <w:rPr>
      <w:rFonts w:ascii="Arial" w:hAnsi="Arial" w:eastAsia="Microsoft JhengHei"/>
      <w:sz w:val="24"/>
    </w:rPr>
  </w:style>
  <w:style w:type="paragraph" w:styleId="17">
    <w:name w:val="toc 2"/>
    <w:basedOn w:val="1"/>
    <w:next w:val="1"/>
    <w:qFormat/>
    <w:uiPriority w:val="0"/>
    <w:pPr>
      <w:ind w:left="420" w:leftChars="200"/>
    </w:pPr>
  </w:style>
  <w:style w:type="paragraph" w:styleId="18">
    <w:name w:val="Normal (Web)"/>
    <w:basedOn w:val="1"/>
    <w:qFormat/>
    <w:uiPriority w:val="0"/>
    <w:rPr>
      <w:sz w:val="24"/>
    </w:rPr>
  </w:style>
  <w:style w:type="paragraph" w:styleId="19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21">
    <w:name w:val="Table Grid"/>
    <w:basedOn w:val="20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3">
    <w:name w:val="Strong"/>
    <w:basedOn w:val="22"/>
    <w:qFormat/>
    <w:uiPriority w:val="0"/>
    <w:rPr>
      <w:b/>
    </w:rPr>
  </w:style>
  <w:style w:type="character" w:styleId="24">
    <w:name w:val="Hyperlink"/>
    <w:basedOn w:val="22"/>
    <w:qFormat/>
    <w:uiPriority w:val="0"/>
    <w:rPr>
      <w:color w:val="0000FF"/>
      <w:u w:val="single"/>
    </w:rPr>
  </w:style>
  <w:style w:type="paragraph" w:customStyle="1" w:styleId="25">
    <w:name w:val="柴_公司名"/>
    <w:basedOn w:val="19"/>
    <w:qFormat/>
    <w:uiPriority w:val="0"/>
    <w:pPr>
      <w:spacing w:after="600" w:afterLines="600"/>
    </w:pPr>
    <w:rPr>
      <w:rFonts w:hint="eastAsia" w:ascii="宋体" w:hAnsi="宋体" w:eastAsia="宋体" w:cs="宋体"/>
      <w:bCs/>
      <w:spacing w:val="-6"/>
      <w:sz w:val="52"/>
      <w:szCs w:val="52"/>
    </w:rPr>
  </w:style>
  <w:style w:type="paragraph" w:customStyle="1" w:styleId="26">
    <w:name w:val="柴_文档名"/>
    <w:basedOn w:val="19"/>
    <w:qFormat/>
    <w:uiPriority w:val="0"/>
    <w:pPr>
      <w:spacing w:after="900" w:afterLines="900"/>
    </w:pPr>
    <w:rPr>
      <w:rFonts w:ascii="黑体" w:hAnsi="黑体" w:eastAsia="黑体" w:cs="黑体"/>
      <w:bCs/>
      <w:spacing w:val="-7"/>
      <w:sz w:val="52"/>
      <w:szCs w:val="52"/>
    </w:rPr>
  </w:style>
  <w:style w:type="table" w:customStyle="1" w:styleId="27">
    <w:name w:val="Table Normal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8">
    <w:name w:val="Table Text"/>
    <w:basedOn w:val="1"/>
    <w:semiHidden/>
    <w:qFormat/>
    <w:uiPriority w:val="0"/>
    <w:rPr>
      <w:rFonts w:ascii="宋体" w:hAnsi="宋体" w:eastAsia="宋体" w:cs="宋体"/>
      <w:sz w:val="21"/>
      <w:szCs w:val="21"/>
      <w:lang w:val="en-US" w:eastAsia="en-US" w:bidi="ar-SA"/>
    </w:rPr>
  </w:style>
  <w:style w:type="paragraph" w:customStyle="1" w:styleId="29">
    <w:name w:val="柴_标题1"/>
    <w:basedOn w:val="2"/>
    <w:next w:val="30"/>
    <w:link w:val="39"/>
    <w:qFormat/>
    <w:uiPriority w:val="0"/>
    <w:pPr>
      <w:spacing w:before="100" w:after="90" w:line="360" w:lineRule="auto"/>
    </w:pPr>
    <w:rPr>
      <w:rFonts w:ascii="Arial" w:hAnsi="Arial" w:eastAsia="宋体"/>
      <w:sz w:val="32"/>
    </w:rPr>
  </w:style>
  <w:style w:type="paragraph" w:customStyle="1" w:styleId="30">
    <w:name w:val="柴_正文"/>
    <w:basedOn w:val="12"/>
    <w:link w:val="43"/>
    <w:qFormat/>
    <w:uiPriority w:val="0"/>
    <w:pPr>
      <w:spacing w:line="360" w:lineRule="auto"/>
      <w:ind w:firstLine="470" w:firstLineChars="200"/>
    </w:pPr>
    <w:rPr>
      <w:rFonts w:ascii="Arial" w:hAnsi="Arial" w:eastAsia="宋体"/>
      <w:sz w:val="24"/>
      <w:lang w:eastAsia="zh-CN"/>
    </w:rPr>
  </w:style>
  <w:style w:type="paragraph" w:customStyle="1" w:styleId="31">
    <w:name w:val="柴_标题2"/>
    <w:basedOn w:val="3"/>
    <w:next w:val="30"/>
    <w:qFormat/>
    <w:uiPriority w:val="0"/>
    <w:pPr>
      <w:spacing w:line="360" w:lineRule="auto"/>
    </w:pPr>
    <w:rPr>
      <w:rFonts w:ascii="Arial" w:hAnsi="Arial" w:eastAsia="宋体"/>
      <w:sz w:val="28"/>
    </w:rPr>
  </w:style>
  <w:style w:type="paragraph" w:customStyle="1" w:styleId="32">
    <w:name w:val="柴_标题3"/>
    <w:basedOn w:val="4"/>
    <w:next w:val="30"/>
    <w:qFormat/>
    <w:uiPriority w:val="0"/>
    <w:pPr>
      <w:spacing w:line="360" w:lineRule="auto"/>
      <w:ind w:left="0" w:firstLine="472" w:firstLineChars="200"/>
    </w:pPr>
    <w:rPr>
      <w:rFonts w:ascii="宋体" w:hAnsi="宋体" w:eastAsia="宋体" w:cs="宋体"/>
      <w:spacing w:val="-2"/>
      <w:sz w:val="24"/>
      <w:szCs w:val="24"/>
    </w:rPr>
  </w:style>
  <w:style w:type="paragraph" w:customStyle="1" w:styleId="33">
    <w:name w:val="柴_目录"/>
    <w:basedOn w:val="1"/>
    <w:next w:val="12"/>
    <w:qFormat/>
    <w:uiPriority w:val="0"/>
    <w:pPr>
      <w:tabs>
        <w:tab w:val="right" w:leader="dot" w:pos="8442"/>
      </w:tabs>
      <w:ind w:left="0" w:leftChars="0"/>
    </w:pPr>
    <w:rPr>
      <w:rFonts w:ascii="Arial" w:hAnsi="Arial" w:eastAsia="Microsoft JhengHei"/>
      <w:sz w:val="24"/>
    </w:rPr>
  </w:style>
  <w:style w:type="paragraph" w:customStyle="1" w:styleId="34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5">
    <w:name w:val="WPSOffice手动目录 2"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6">
    <w:name w:val="WPSOffice手动目录 3"/>
    <w:qFormat/>
    <w:uiPriority w:val="0"/>
    <w:pPr>
      <w:ind w:leftChars="4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7">
    <w:name w:val="Compact"/>
    <w:basedOn w:val="12"/>
    <w:qFormat/>
    <w:uiPriority w:val="0"/>
    <w:pPr>
      <w:spacing w:before="36" w:after="36"/>
    </w:pPr>
  </w:style>
  <w:style w:type="table" w:customStyle="1" w:styleId="38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character" w:customStyle="1" w:styleId="39">
    <w:name w:val="柴_标题1 Char"/>
    <w:link w:val="29"/>
    <w:qFormat/>
    <w:uiPriority w:val="0"/>
    <w:rPr>
      <w:rFonts w:ascii="Arial" w:hAnsi="Arial" w:eastAsia="宋体"/>
      <w:sz w:val="32"/>
    </w:rPr>
  </w:style>
  <w:style w:type="table" w:customStyle="1" w:styleId="40">
    <w:name w:val="Table Normal_1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41">
    <w:name w:val="柴_正文_无缩进"/>
    <w:basedOn w:val="1"/>
    <w:qFormat/>
    <w:uiPriority w:val="0"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2">
    <w:name w:val="柴_标题4"/>
    <w:basedOn w:val="5"/>
    <w:next w:val="1"/>
    <w:qFormat/>
    <w:uiPriority w:val="0"/>
    <w:pPr>
      <w:widowControl w:val="0"/>
      <w:spacing w:before="160" w:line="360" w:lineRule="auto"/>
      <w:ind w:left="981" w:leftChars="300" w:hanging="862"/>
    </w:pPr>
    <w:rPr>
      <w:rFonts w:hint="eastAsia" w:ascii="Calibri" w:hAnsi="Calibri" w:eastAsia="宋体" w:cs="宋体"/>
      <w:sz w:val="24"/>
      <w:szCs w:val="24"/>
      <w:lang w:eastAsia="zh-CN" w:bidi="zh-CN"/>
    </w:rPr>
  </w:style>
  <w:style w:type="character" w:customStyle="1" w:styleId="43">
    <w:name w:val="柴_正文 Char"/>
    <w:link w:val="30"/>
    <w:qFormat/>
    <w:uiPriority w:val="0"/>
    <w:rPr>
      <w:rFonts w:ascii="Arial" w:hAnsi="Arial" w:eastAsia="宋体"/>
      <w:sz w:val="24"/>
      <w:lang w:eastAsia="zh-CN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1424</Words>
  <Characters>1646</Characters>
  <Lines>0</Lines>
  <Paragraphs>0</Paragraphs>
  <TotalTime>0</TotalTime>
  <ScaleCrop>false</ScaleCrop>
  <LinksUpToDate>false</LinksUpToDate>
  <CharactersWithSpaces>1695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2025-09-03T14:43:00Z</dcterms:created>
  <dc:creator>郝宇</dc:creator>
  <cp:lastModifiedBy>郝宇</cp:lastModifiedBy>
  <dcterms:modified xsi:type="dcterms:W3CDTF">2026-05-06T20:23:16Z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BA828AC39D334D9FACCDF2EC6AEF6D30_13</vt:lpwstr>
  </property>
  <property fmtid="{D5CDD505-2E9C-101B-9397-08002B2CF9AE}" pid="3" name="KSOProductBuildVer">
    <vt:lpwstr>2052-12.1.0.25865</vt:lpwstr>
  </property>
  <property fmtid="{D5CDD505-2E9C-101B-9397-08002B2CF9AE}" pid="4" name="KSOTemplateDocerSaveRecord">
    <vt:lpwstr>eyJoZGlkIjoiZWI4NmUzMGY2ODA3MDc4ZTFlMjZjZTAyMjM0NmVmODgiLCJ1c2VySWQiOiIxMDc1MzgyOSJ9</vt:lpwstr>
  </property>
</Properties>
</file>