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4039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9786"/>
      <w:r>
        <w:rPr>
          <w:rFonts w:hint="eastAsia"/>
          <w:lang w:val="en-US" w:eastAsia="zh-CN"/>
        </w:rPr>
        <w:t>2025年12月满意度调查报告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10-2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李伟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_Toc24039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_Toc24039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2025年12月满意度调查报告</w:t>
          </w:r>
          <w:r>
            <w:tab/>
          </w:r>
          <w:r>
            <w:fldChar w:fldCharType="begin"/>
          </w:r>
          <w:r>
            <w:instrText xml:space="preserve"> PAGEREF _Toc29786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_Toc11646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_Toc11646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_Toc24584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调查方法与评价体系</w:t>
          </w:r>
          <w:r>
            <w:tab/>
          </w:r>
          <w:r>
            <w:fldChar w:fldCharType="begin"/>
          </w:r>
          <w:r>
            <w:instrText xml:space="preserve"> PAGEREF _Toc24584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调查方法</w:t>
          </w:r>
          <w:r>
            <w:tab/>
          </w:r>
          <w:r>
            <w:fldChar w:fldCharType="begin"/>
          </w:r>
          <w:r>
            <w:instrText xml:space="preserve"> PAGEREF _Toc29752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_Toc9003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评价与计分标准</w:t>
          </w:r>
          <w:r>
            <w:tab/>
          </w:r>
          <w:r>
            <w:fldChar w:fldCharType="begin"/>
          </w:r>
          <w:r>
            <w:instrText xml:space="preserve"> PAGEREF _Toc9003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_Toc18169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调查结果综合分析</w:t>
          </w:r>
          <w:r>
            <w:tab/>
          </w:r>
          <w:r>
            <w:fldChar w:fldCharType="begin"/>
          </w:r>
          <w:r>
            <w:instrText xml:space="preserve"> PAGEREF _Toc18169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_Toc12298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整体满意度结果</w:t>
          </w:r>
          <w:r>
            <w:tab/>
          </w:r>
          <w:r>
            <w:fldChar w:fldCharType="begin"/>
          </w:r>
          <w:r>
            <w:instrText xml:space="preserve"> PAGEREF _Toc12298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各维度满意度分析</w:t>
          </w:r>
          <w:r>
            <w:tab/>
          </w:r>
          <w:r>
            <w:fldChar w:fldCharType="begin"/>
          </w:r>
          <w:r>
            <w:instrText xml:space="preserve"> PAGEREF _Toc1045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结论与总结</w:t>
          </w:r>
          <w:r>
            <w:tab/>
          </w:r>
          <w:r>
            <w:fldChar w:fldCharType="begin"/>
          </w:r>
          <w:r>
            <w:instrText xml:space="preserve"> PAGEREF _Toc29739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_Toc20854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下半年工作总结</w:t>
          </w:r>
          <w:r>
            <w:tab/>
          </w:r>
          <w:r>
            <w:fldChar w:fldCharType="begin"/>
          </w:r>
          <w:r>
            <w:instrText xml:space="preserve"> PAGEREF _Toc20854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_Toc6753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下一步工作</w:t>
          </w:r>
          <w:r>
            <w:tab/>
          </w:r>
          <w:r>
            <w:fldChar w:fldCharType="begin"/>
          </w:r>
          <w:r>
            <w:instrText xml:space="preserve"> PAGEREF _Toc6753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11646"/>
      <w:r>
        <w:rPr>
          <w:rFonts w:hint="default"/>
          <w:lang w:val="en-US" w:eastAsia="zh-CN"/>
        </w:rPr>
        <w:t>概述</w:t>
      </w:r>
      <w:bookmarkEnd w:id="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为持续评估公司运维服务质量，验证上半年改进措施的有效性，质量管理部根据《客户满意度调查管理制度》要求，于2025年12月底组织开展了下半年度客户满意度调查工作。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本次调查旨在通过对服务客户的直接回访，真实反映客户对我公司下半年运维服务的质量评价，识别服务过程中的持续优势与仍需改进环节，并与上半年结果进行对比分析。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本次调查采用线上问卷与电话回访相结合的方式，面向2025年下半年有活跃服务记录的客户进行抽样调查。截至报告期，共回收有效调查问卷10份，覆盖了主要服务省份和项目，调查结果具有较好的代表性。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4584"/>
      <w:r>
        <w:rPr>
          <w:rFonts w:hint="default"/>
          <w:lang w:val="en-US" w:eastAsia="zh-CN"/>
        </w:rPr>
        <w:t>调查方法与评价体系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29752"/>
      <w:r>
        <w:rPr>
          <w:rFonts w:hint="default"/>
          <w:lang w:val="en-US" w:eastAsia="zh-CN"/>
        </w:rPr>
        <w:t>调查方法</w:t>
      </w:r>
      <w:bookmarkEnd w:id="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调查方式：以线上电子问卷</w:t>
      </w:r>
      <w:r>
        <w:rPr>
          <w:rFonts w:hint="eastAsia"/>
          <w:lang w:val="en-US" w:eastAsia="zh-CN"/>
        </w:rPr>
        <w:t>方式进行</w:t>
      </w:r>
      <w:r>
        <w:rPr>
          <w:rFonts w:hint="default"/>
          <w:lang w:val="en-US" w:eastAsia="zh-CN"/>
        </w:rPr>
        <w:t>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调查对象：从当期服务客户清单中，按项目类型和地域分层抽样选取。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调查时间：</w:t>
      </w:r>
      <w:r>
        <w:rPr>
          <w:rFonts w:hint="eastAsia"/>
          <w:lang w:val="en-US" w:eastAsia="zh-CN"/>
        </w:rPr>
        <w:t>2025年12月30日</w:t>
      </w:r>
      <w:r>
        <w:rPr>
          <w:rFonts w:hint="default"/>
          <w:lang w:val="en-US" w:eastAsia="zh-CN"/>
        </w:rPr>
        <w:t>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问卷设计：围绕运维服务核心价值交付过程，服务响应、专业技术、问题解决、沟通协调、服务态度、文档质量、主动服务、整体价值八个评价维度。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9003"/>
      <w:r>
        <w:rPr>
          <w:rFonts w:hint="default"/>
          <w:lang w:val="en-US" w:eastAsia="zh-CN"/>
        </w:rPr>
        <w:t>评价与计分标准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采用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分制进行评分：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分：非常满意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分：满意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5-8</w:t>
      </w:r>
      <w:r>
        <w:rPr>
          <w:rFonts w:hint="default"/>
          <w:lang w:val="en-US" w:eastAsia="zh-CN"/>
        </w:rPr>
        <w:t>分：一般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4-5</w:t>
      </w:r>
      <w:r>
        <w:rPr>
          <w:rFonts w:hint="default"/>
          <w:lang w:val="en-US" w:eastAsia="zh-CN"/>
        </w:rPr>
        <w:t>分：不满意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-3</w:t>
      </w:r>
      <w:r>
        <w:rPr>
          <w:rFonts w:hint="default"/>
          <w:lang w:val="en-US" w:eastAsia="zh-CN"/>
        </w:rPr>
        <w:t>分：非常不满意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客户满意度得分计算：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单个客户满意度=(各维度得分总和 / 问卷总分)×100%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本次整体客户满意度=</w:t>
      </w:r>
      <w:r>
        <w:drawing>
          <wp:inline distT="0" distB="0" distL="114300" distR="114300">
            <wp:extent cx="1847215" cy="255905"/>
            <wp:effectExtent l="0" t="0" r="0" b="254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47215" cy="25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达标判定：依据《运维服务能力管理指标体系》，整体满意度目标值为≥90%。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18169"/>
      <w:r>
        <w:rPr>
          <w:rFonts w:hint="default"/>
          <w:lang w:val="en-US" w:eastAsia="zh-CN"/>
        </w:rPr>
        <w:t>调查结果综合分析</w:t>
      </w:r>
      <w:bookmarkEnd w:id="6"/>
    </w:p>
    <w:tbl>
      <w:tblPr>
        <w:tblStyle w:val="TableNormal0"/>
        <w:tblW w:w="8309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3"/>
        <w:gridCol w:w="2927"/>
        <w:gridCol w:w="501"/>
        <w:gridCol w:w="513"/>
        <w:gridCol w:w="466"/>
        <w:gridCol w:w="571"/>
        <w:gridCol w:w="477"/>
        <w:gridCol w:w="451"/>
        <w:gridCol w:w="456"/>
        <w:gridCol w:w="468"/>
        <w:gridCol w:w="756"/>
      </w:tblGrid>
      <w:tr>
        <w:tblPrEx>
          <w:tblW w:w="8309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8"/>
        </w:trPr>
        <w:tc>
          <w:tcPr>
            <w:tcW w:w="723" w:type="dxa"/>
            <w:vMerge w:val="restart"/>
          </w:tcPr>
          <w:p>
            <w:pPr>
              <w:spacing w:before="170" w:line="227" w:lineRule="auto"/>
              <w:ind w:left="128"/>
              <w:rPr>
                <w:rFonts w:ascii="宋体" w:eastAsia="宋体" w:hAnsi="宋体" w:cs="宋体" w:hint="eastAsia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8"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927" w:type="dxa"/>
            <w:vMerge w:val="restart"/>
          </w:tcPr>
          <w:p>
            <w:pPr>
              <w:spacing w:before="170" w:line="227" w:lineRule="auto"/>
              <w:ind w:left="128"/>
              <w:rPr>
                <w:rFonts w:ascii="宋体" w:eastAsia="宋体" w:hAnsi="宋体" w:cs="宋体" w:hint="default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8"/>
                <w:sz w:val="20"/>
                <w:szCs w:val="20"/>
                <w:lang w:val="en-US" w:eastAsia="zh-CN"/>
              </w:rPr>
              <w:t>客户名称</w:t>
            </w:r>
          </w:p>
        </w:tc>
        <w:tc>
          <w:tcPr>
            <w:tcW w:w="4659" w:type="dxa"/>
            <w:gridSpan w:val="9"/>
          </w:tcPr>
          <w:p>
            <w:pPr>
              <w:spacing w:before="171" w:line="267" w:lineRule="exact"/>
              <w:ind w:left="226"/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"/>
                <w:position w:val="1"/>
                <w:sz w:val="20"/>
                <w:szCs w:val="20"/>
                <w:lang w:val="en-US" w:eastAsia="zh-CN"/>
              </w:rPr>
              <w:t>客户满意度情况</w:t>
            </w:r>
          </w:p>
        </w:tc>
      </w:tr>
      <w:tr>
        <w:tblPrEx>
          <w:tblW w:w="830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9"/>
        </w:trPr>
        <w:tc>
          <w:tcPr>
            <w:tcW w:w="723" w:type="dxa"/>
            <w:vMerge/>
          </w:tcPr>
          <w:p>
            <w:pPr>
              <w:spacing w:before="170" w:line="227" w:lineRule="auto"/>
              <w:ind w:left="128"/>
              <w:rPr>
                <w:rFonts w:ascii="宋体" w:eastAsia="宋体" w:hAnsi="宋体" w:cs="宋体"/>
                <w:spacing w:val="8"/>
                <w:sz w:val="20"/>
                <w:szCs w:val="20"/>
              </w:rPr>
            </w:pPr>
          </w:p>
        </w:tc>
        <w:tc>
          <w:tcPr>
            <w:tcW w:w="2927" w:type="dxa"/>
            <w:vMerge/>
          </w:tcPr>
          <w:p>
            <w:pPr>
              <w:spacing w:before="170" w:line="227" w:lineRule="auto"/>
              <w:ind w:left="128"/>
              <w:rPr>
                <w:rFonts w:ascii="宋体" w:eastAsia="宋体" w:hAnsi="宋体" w:cs="宋体"/>
                <w:spacing w:val="8"/>
                <w:sz w:val="20"/>
                <w:szCs w:val="20"/>
              </w:rPr>
            </w:pPr>
          </w:p>
        </w:tc>
        <w:tc>
          <w:tcPr>
            <w:tcW w:w="50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服务响应</w:t>
            </w:r>
          </w:p>
        </w:tc>
        <w:tc>
          <w:tcPr>
            <w:tcW w:w="513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 w:firstLine="0" w:leftChars="0" w:firstLineChars="0"/>
              <w:textAlignment w:val="baseline"/>
              <w:rPr>
                <w:rFonts w:eastAsia="宋体"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专业技术</w:t>
            </w:r>
          </w:p>
        </w:tc>
        <w:tc>
          <w:tcPr>
            <w:tcW w:w="46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问题解决</w:t>
            </w:r>
          </w:p>
        </w:tc>
        <w:tc>
          <w:tcPr>
            <w:tcW w:w="57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沟通协调</w:t>
            </w:r>
          </w:p>
        </w:tc>
        <w:tc>
          <w:tcPr>
            <w:tcW w:w="47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t>服务态度</w:t>
            </w:r>
          </w:p>
        </w:tc>
        <w:tc>
          <w:tcPr>
            <w:tcW w:w="45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文档质量</w:t>
            </w:r>
          </w:p>
        </w:tc>
        <w:tc>
          <w:tcPr>
            <w:tcW w:w="45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  <w:rPr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主动服务</w:t>
            </w:r>
          </w:p>
        </w:tc>
        <w:tc>
          <w:tcPr>
            <w:tcW w:w="468" w:type="dxa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113" w:right="113"/>
              <w:textAlignment w:val="baseline"/>
            </w:pPr>
            <w:r>
              <w:rPr>
                <w:rFonts w:hint="default"/>
                <w:lang w:val="en-US" w:eastAsia="zh-CN"/>
              </w:rPr>
              <w:t>整体价值</w:t>
            </w:r>
          </w:p>
        </w:tc>
        <w:tc>
          <w:tcPr>
            <w:tcW w:w="756" w:type="dxa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exact"/>
              <w:ind w:left="0" w:right="0"/>
              <w:jc w:val="center"/>
              <w:textAlignment w:val="baseline"/>
              <w:rPr>
                <w:rFonts w:ascii="宋体" w:eastAsia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合计</w:t>
            </w:r>
          </w:p>
        </w:tc>
      </w:tr>
      <w:tr>
        <w:tblPrEx>
          <w:tblW w:w="830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/>
        </w:trPr>
        <w:tc>
          <w:tcPr>
            <w:tcW w:w="723" w:type="dxa"/>
          </w:tcPr>
          <w:p>
            <w:pPr>
              <w:spacing w:before="170" w:line="227" w:lineRule="auto"/>
              <w:ind w:left="128"/>
              <w:rPr>
                <w:rFonts w:ascii="宋体" w:eastAsia="宋体" w:hAnsi="宋体" w:cs="宋体" w:hint="eastAsia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8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927" w:type="dxa"/>
            <w:vAlign w:val="bottom"/>
          </w:tcPr>
          <w:p>
            <w:pPr>
              <w:rPr>
                <w:rFonts w:ascii="宋体" w:eastAsia="宋体" w:hAnsi="宋体" w:cs="宋体" w:hint="default"/>
                <w:sz w:val="16"/>
                <w:szCs w:val="16"/>
                <w:lang w:val="en-US" w:eastAsia="zh-CN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HYPERLINK "https://www.qcc.com/firm/94ae27277d8b59eec82a9629e76b4f14.html" \t "https://www.qcc.com/crun/_blank"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rFonts w:hint="eastAsia"/>
                <w:sz w:val="18"/>
                <w:szCs w:val="18"/>
              </w:rPr>
              <w:t>桐乡市华通实业有限公司</w:t>
            </w:r>
            <w:r>
              <w:rPr>
                <w:rFonts w:hint="eastAsia"/>
                <w:sz w:val="18"/>
                <w:szCs w:val="18"/>
              </w:rPr>
              <w:fldChar w:fldCharType="end"/>
            </w:r>
          </w:p>
        </w:tc>
        <w:tc>
          <w:tcPr>
            <w:tcW w:w="501" w:type="dxa"/>
          </w:tcPr>
          <w:p>
            <w:r>
              <w:t>10</w:t>
            </w:r>
          </w:p>
        </w:tc>
        <w:tc>
          <w:tcPr>
            <w:tcW w:w="513" w:type="dxa"/>
            <w:shd w:val="clear" w:color="auto" w:fill="auto"/>
          </w:tcPr>
          <w:p>
            <w:pPr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10</w:t>
            </w:r>
          </w:p>
        </w:tc>
        <w:tc>
          <w:tcPr>
            <w:tcW w:w="466" w:type="dxa"/>
            <w:shd w:val="clear" w:color="auto" w:fill="auto"/>
          </w:tcPr>
          <w:p>
            <w:pPr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71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77" w:type="dxa"/>
          </w:tcPr>
          <w:p>
            <w:r>
              <w:t>10</w:t>
            </w:r>
          </w:p>
        </w:tc>
        <w:tc>
          <w:tcPr>
            <w:tcW w:w="451" w:type="dxa"/>
          </w:tcPr>
          <w:p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>
            <w:r>
              <w:t>10</w:t>
            </w:r>
          </w:p>
        </w:tc>
        <w:tc>
          <w:tcPr>
            <w:tcW w:w="468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98.7%</w:t>
            </w:r>
          </w:p>
        </w:tc>
      </w:tr>
      <w:tr>
        <w:tblPrEx>
          <w:tblW w:w="830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7"/>
        </w:trPr>
        <w:tc>
          <w:tcPr>
            <w:tcW w:w="723" w:type="dxa"/>
          </w:tcPr>
          <w:p>
            <w:pPr>
              <w:spacing w:before="128" w:line="227" w:lineRule="auto"/>
              <w:ind w:left="108"/>
              <w:rPr>
                <w:rFonts w:ascii="宋体" w:eastAsia="宋体" w:hAnsi="宋体" w:cs="宋体" w:hint="eastAsia"/>
                <w:spacing w:val="9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9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927" w:type="dxa"/>
            <w:vAlign w:val="bottom"/>
          </w:tcPr>
          <w:p>
            <w:pPr>
              <w:rPr>
                <w:rFonts w:ascii="宋体" w:eastAsia="宋体" w:hAnsi="宋体" w:cs="宋体" w:hint="default"/>
                <w:sz w:val="16"/>
                <w:szCs w:val="16"/>
                <w:lang w:val="en-US" w:eastAsia="zh-CN"/>
              </w:rPr>
            </w:pPr>
            <w:r>
              <w:rPr>
                <w:sz w:val="18"/>
                <w:szCs w:val="18"/>
              </w:rPr>
              <w:t>乌镇大数据高新技术产业园</w:t>
            </w:r>
          </w:p>
        </w:tc>
        <w:tc>
          <w:tcPr>
            <w:tcW w:w="501" w:type="dxa"/>
          </w:tcPr>
          <w:p>
            <w:r>
              <w:t>10</w:t>
            </w:r>
          </w:p>
        </w:tc>
        <w:tc>
          <w:tcPr>
            <w:tcW w:w="513" w:type="dxa"/>
          </w:tcPr>
          <w:p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  <w:shd w:val="clear" w:color="auto" w:fill="auto"/>
          </w:tcPr>
          <w:p>
            <w:pPr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10</w:t>
            </w:r>
          </w:p>
        </w:tc>
        <w:tc>
          <w:tcPr>
            <w:tcW w:w="571" w:type="dxa"/>
            <w:shd w:val="clear" w:color="auto" w:fill="auto"/>
          </w:tcPr>
          <w:p>
            <w:pPr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77" w:type="dxa"/>
            <w:shd w:val="clear" w:color="auto" w:fill="auto"/>
          </w:tcPr>
          <w:p>
            <w:pPr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10</w:t>
            </w:r>
          </w:p>
        </w:tc>
        <w:tc>
          <w:tcPr>
            <w:tcW w:w="451" w:type="dxa"/>
            <w:shd w:val="clear" w:color="auto" w:fill="auto"/>
          </w:tcPr>
          <w:p>
            <w:pPr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>
            <w:r>
              <w:t>10</w:t>
            </w:r>
          </w:p>
        </w:tc>
        <w:tc>
          <w:tcPr>
            <w:tcW w:w="468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>
            <w:r>
              <w:rPr>
                <w:rFonts w:hint="eastAsia"/>
                <w:lang w:val="en-US" w:eastAsia="zh-CN"/>
              </w:rPr>
              <w:t>100%</w:t>
            </w:r>
          </w:p>
        </w:tc>
      </w:tr>
      <w:tr>
        <w:tblPrEx>
          <w:tblW w:w="830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/>
        </w:trPr>
        <w:tc>
          <w:tcPr>
            <w:tcW w:w="723" w:type="dxa"/>
          </w:tcPr>
          <w:p>
            <w:pPr>
              <w:spacing w:before="126" w:line="227" w:lineRule="auto"/>
              <w:ind w:left="112"/>
              <w:rPr>
                <w:rFonts w:ascii="宋体" w:eastAsia="宋体" w:hAnsi="宋体" w:cs="宋体" w:hint="eastAsia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8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927" w:type="dxa"/>
            <w:vAlign w:val="bottom"/>
          </w:tcPr>
          <w:p>
            <w:pPr>
              <w:rPr>
                <w:rFonts w:ascii="宋体" w:eastAsia="宋体" w:hAnsi="宋体" w:cs="宋体" w:hint="default"/>
                <w:sz w:val="16"/>
                <w:szCs w:val="16"/>
                <w:lang w:val="en-US" w:eastAsia="zh-CN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HYPERLINK "https://www.qcc.com/firm/26593f8aca0bdf63a2f9565ae31eea62.html" \t "https://www.qcc.com/crun/_blank"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rFonts w:hint="eastAsia"/>
                <w:sz w:val="18"/>
                <w:szCs w:val="18"/>
              </w:rPr>
              <w:t>中国电信股份有限公司嘉兴分公司</w:t>
            </w:r>
            <w:r>
              <w:rPr>
                <w:rFonts w:hint="eastAsia"/>
                <w:sz w:val="18"/>
                <w:szCs w:val="18"/>
              </w:rPr>
              <w:fldChar w:fldCharType="end"/>
            </w:r>
          </w:p>
        </w:tc>
        <w:tc>
          <w:tcPr>
            <w:tcW w:w="501" w:type="dxa"/>
          </w:tcPr>
          <w:p>
            <w:r>
              <w:t>10</w:t>
            </w:r>
          </w:p>
        </w:tc>
        <w:tc>
          <w:tcPr>
            <w:tcW w:w="513" w:type="dxa"/>
          </w:tcPr>
          <w:p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>
            <w:r>
              <w:t>10</w:t>
            </w:r>
          </w:p>
        </w:tc>
        <w:tc>
          <w:tcPr>
            <w:tcW w:w="571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77" w:type="dxa"/>
          </w:tcPr>
          <w:p>
            <w:r>
              <w:t>10</w:t>
            </w:r>
          </w:p>
        </w:tc>
        <w:tc>
          <w:tcPr>
            <w:tcW w:w="451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>
            <w:r>
              <w:t>10</w:t>
            </w:r>
          </w:p>
        </w:tc>
        <w:tc>
          <w:tcPr>
            <w:tcW w:w="468" w:type="dxa"/>
          </w:tcPr>
          <w:p>
            <w:pPr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>
            <w:r>
              <w:rPr>
                <w:rFonts w:hint="eastAsia"/>
                <w:lang w:val="en-US" w:eastAsia="zh-CN"/>
              </w:rPr>
              <w:t>100%</w:t>
            </w:r>
          </w:p>
        </w:tc>
      </w:tr>
      <w:tr>
        <w:tblPrEx>
          <w:tblW w:w="830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/>
        </w:trPr>
        <w:tc>
          <w:tcPr>
            <w:tcW w:w="723" w:type="dxa"/>
          </w:tcPr>
          <w:p>
            <w:pPr>
              <w:spacing w:before="126" w:line="227" w:lineRule="auto"/>
              <w:ind w:left="112"/>
              <w:rPr>
                <w:rFonts w:ascii="宋体" w:eastAsia="宋体" w:hAnsi="宋体" w:cs="宋体" w:hint="default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8"/>
                <w:sz w:val="20"/>
                <w:szCs w:val="20"/>
                <w:lang w:val="en-US" w:eastAsia="zh-CN"/>
              </w:rPr>
              <w:t>4</w:t>
            </w:r>
          </w:p>
        </w:tc>
        <w:tc>
          <w:tcPr>
            <w:tcW w:w="2927" w:type="dxa"/>
            <w:vAlign w:val="bottom"/>
          </w:tcPr>
          <w:p>
            <w:pPr>
              <w:rPr>
                <w:rFonts w:ascii="宋体" w:eastAsia="宋体" w:hAnsi="宋体" w:cs="宋体" w:hint="default"/>
                <w:sz w:val="16"/>
                <w:szCs w:val="16"/>
                <w:lang w:val="en-US" w:eastAsia="zh-CN"/>
              </w:rPr>
            </w:pPr>
            <w:r>
              <w:rPr>
                <w:rFonts w:hint="eastAsia"/>
                <w:sz w:val="18"/>
                <w:szCs w:val="18"/>
              </w:rPr>
              <w:t>嘉兴华数广电网络有限公司</w:t>
            </w:r>
          </w:p>
        </w:tc>
        <w:tc>
          <w:tcPr>
            <w:tcW w:w="501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t>10</w:t>
            </w:r>
          </w:p>
        </w:tc>
        <w:tc>
          <w:tcPr>
            <w:tcW w:w="513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t>10</w:t>
            </w:r>
          </w:p>
        </w:tc>
        <w:tc>
          <w:tcPr>
            <w:tcW w:w="571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77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t>10</w:t>
            </w:r>
          </w:p>
        </w:tc>
        <w:tc>
          <w:tcPr>
            <w:tcW w:w="451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t>10</w:t>
            </w:r>
          </w:p>
        </w:tc>
        <w:tc>
          <w:tcPr>
            <w:tcW w:w="468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</w:tr>
      <w:tr>
        <w:tblPrEx>
          <w:tblW w:w="830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/>
        </w:trPr>
        <w:tc>
          <w:tcPr>
            <w:tcW w:w="723" w:type="dxa"/>
          </w:tcPr>
          <w:p>
            <w:pPr>
              <w:spacing w:before="126" w:line="227" w:lineRule="auto"/>
              <w:ind w:left="112"/>
              <w:rPr>
                <w:rFonts w:ascii="宋体" w:hAnsi="宋体" w:cs="宋体" w:hint="default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8"/>
                <w:sz w:val="20"/>
                <w:szCs w:val="20"/>
                <w:lang w:val="en-US" w:eastAsia="zh-CN"/>
              </w:rPr>
              <w:t>5</w:t>
            </w:r>
          </w:p>
        </w:tc>
        <w:tc>
          <w:tcPr>
            <w:tcW w:w="2927" w:type="dxa"/>
            <w:vAlign w:val="bottom"/>
          </w:tcPr>
          <w:p>
            <w:pPr>
              <w:rPr>
                <w:rFonts w:ascii="宋体" w:eastAsia="宋体" w:hAnsi="宋体" w:cs="宋体" w:hint="default"/>
                <w:sz w:val="16"/>
                <w:szCs w:val="16"/>
                <w:lang w:val="en-US" w:eastAsia="zh-CN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HYPERLINK "https://www.qcc.com/firm/g21f0dafbd8e32355e7f372629be38c9.html" \t "https://www.qcc.com/crun/_blank"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rFonts w:hint="eastAsia"/>
                <w:sz w:val="18"/>
                <w:szCs w:val="18"/>
              </w:rPr>
              <w:t>桐乡市文化和广电旅游体育局</w:t>
            </w:r>
            <w:r>
              <w:rPr>
                <w:rFonts w:hint="eastAsia"/>
                <w:sz w:val="18"/>
                <w:szCs w:val="18"/>
              </w:rPr>
              <w:fldChar w:fldCharType="end"/>
            </w:r>
          </w:p>
        </w:tc>
        <w:tc>
          <w:tcPr>
            <w:tcW w:w="501" w:type="dxa"/>
          </w:tcPr>
          <w:p>
            <w:pPr>
              <w:rPr>
                <w:rFonts w:hint="default"/>
                <w:lang w:val="en-US" w:eastAsia="zh-CN"/>
              </w:rPr>
            </w:pPr>
            <w:r>
              <w:t>10</w:t>
            </w:r>
          </w:p>
        </w:tc>
        <w:tc>
          <w:tcPr>
            <w:tcW w:w="513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>
            <w:pPr>
              <w:rPr>
                <w:rFonts w:hint="default"/>
                <w:lang w:val="en-US" w:eastAsia="zh-CN"/>
              </w:rPr>
            </w:pPr>
            <w:r>
              <w:t>10</w:t>
            </w:r>
          </w:p>
        </w:tc>
        <w:tc>
          <w:tcPr>
            <w:tcW w:w="571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77" w:type="dxa"/>
          </w:tcPr>
          <w:p>
            <w:pPr>
              <w:rPr>
                <w:rFonts w:hint="default"/>
                <w:lang w:val="en-US" w:eastAsia="zh-CN"/>
              </w:rPr>
            </w:pPr>
            <w:r>
              <w:t>10</w:t>
            </w:r>
          </w:p>
        </w:tc>
        <w:tc>
          <w:tcPr>
            <w:tcW w:w="451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>
            <w:pPr>
              <w:rPr>
                <w:rFonts w:hint="default"/>
                <w:lang w:val="en-US" w:eastAsia="zh-CN"/>
              </w:rPr>
            </w:pPr>
            <w:r>
              <w:t>10</w:t>
            </w:r>
          </w:p>
        </w:tc>
        <w:tc>
          <w:tcPr>
            <w:tcW w:w="46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</w:tr>
      <w:tr>
        <w:tblPrEx>
          <w:tblW w:w="830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/>
        </w:trPr>
        <w:tc>
          <w:tcPr>
            <w:tcW w:w="723" w:type="dxa"/>
          </w:tcPr>
          <w:p>
            <w:pPr>
              <w:spacing w:before="126" w:line="227" w:lineRule="auto"/>
              <w:ind w:left="112"/>
              <w:rPr>
                <w:rFonts w:ascii="宋体" w:hAnsi="宋体" w:cs="宋体" w:hint="default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8"/>
                <w:sz w:val="20"/>
                <w:szCs w:val="20"/>
                <w:lang w:val="en-US" w:eastAsia="zh-CN"/>
              </w:rPr>
              <w:t>6</w:t>
            </w:r>
          </w:p>
        </w:tc>
        <w:tc>
          <w:tcPr>
            <w:tcW w:w="2927" w:type="dxa"/>
            <w:vAlign w:val="bottom"/>
          </w:tcPr>
          <w:p>
            <w:pPr>
              <w:rPr>
                <w:rFonts w:ascii="宋体" w:eastAsia="宋体" w:hAnsi="宋体" w:cs="宋体" w:hint="default"/>
                <w:sz w:val="16"/>
                <w:szCs w:val="16"/>
                <w:lang w:val="en-US" w:eastAsia="zh-CN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HYPERLINK "https://www.qcc.com/firm/d584e4fa8f190240ffdef0f7d5f114c8.html" \t "https://www.qcc.com/crun/_blank"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rFonts w:hint="eastAsia"/>
                <w:sz w:val="18"/>
                <w:szCs w:val="18"/>
              </w:rPr>
              <w:t>桐乡市濮院镇新农村建设开发有限公司</w:t>
            </w:r>
            <w:r>
              <w:rPr>
                <w:rFonts w:hint="eastAsia"/>
                <w:sz w:val="18"/>
                <w:szCs w:val="18"/>
              </w:rPr>
              <w:fldChar w:fldCharType="end"/>
            </w:r>
            <w:bookmarkStart w:id="7" w:name="_GoBack"/>
            <w:bookmarkEnd w:id="7"/>
          </w:p>
        </w:tc>
        <w:tc>
          <w:tcPr>
            <w:tcW w:w="501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571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7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98.7%</w:t>
            </w:r>
          </w:p>
        </w:tc>
      </w:tr>
      <w:tr>
        <w:tblPrEx>
          <w:tblW w:w="830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/>
        </w:trPr>
        <w:tc>
          <w:tcPr>
            <w:tcW w:w="723" w:type="dxa"/>
          </w:tcPr>
          <w:p>
            <w:pPr>
              <w:spacing w:before="126" w:line="227" w:lineRule="auto"/>
              <w:ind w:left="112"/>
              <w:rPr>
                <w:rFonts w:ascii="宋体" w:hAnsi="宋体" w:cs="宋体" w:hint="default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8"/>
                <w:sz w:val="20"/>
                <w:szCs w:val="20"/>
                <w:lang w:val="en-US" w:eastAsia="zh-CN"/>
              </w:rPr>
              <w:t>7</w:t>
            </w:r>
          </w:p>
        </w:tc>
        <w:tc>
          <w:tcPr>
            <w:tcW w:w="2927" w:type="dxa"/>
            <w:vAlign w:val="bottom"/>
          </w:tcPr>
          <w:p>
            <w:pPr>
              <w:rPr>
                <w:rFonts w:ascii="宋体" w:eastAsia="宋体" w:hAnsi="宋体" w:cs="宋体" w:hint="default"/>
                <w:sz w:val="16"/>
                <w:szCs w:val="16"/>
                <w:lang w:val="en-US" w:eastAsia="zh-CN"/>
              </w:rPr>
            </w:pPr>
            <w:r>
              <w:rPr>
                <w:sz w:val="18"/>
                <w:szCs w:val="18"/>
              </w:rPr>
              <w:t>桐乡市濮院镇红旗漾股份经济合作社</w:t>
            </w:r>
          </w:p>
        </w:tc>
        <w:tc>
          <w:tcPr>
            <w:tcW w:w="50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t>10</w:t>
            </w:r>
          </w:p>
        </w:tc>
        <w:tc>
          <w:tcPr>
            <w:tcW w:w="51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>
            <w:pPr>
              <w:rPr>
                <w:rFonts w:hint="default"/>
                <w:lang w:val="en-US" w:eastAsia="zh-CN"/>
              </w:rPr>
            </w:pPr>
            <w:r>
              <w:t>10</w:t>
            </w:r>
          </w:p>
        </w:tc>
        <w:tc>
          <w:tcPr>
            <w:tcW w:w="571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7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t>10</w:t>
            </w:r>
          </w:p>
        </w:tc>
        <w:tc>
          <w:tcPr>
            <w:tcW w:w="45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>
            <w:pPr>
              <w:rPr>
                <w:rFonts w:hint="default"/>
                <w:lang w:val="en-US" w:eastAsia="zh-CN"/>
              </w:rPr>
            </w:pPr>
            <w:r>
              <w:t>10</w:t>
            </w:r>
          </w:p>
        </w:tc>
        <w:tc>
          <w:tcPr>
            <w:tcW w:w="46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</w:tr>
      <w:tr>
        <w:tblPrEx>
          <w:tblW w:w="830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/>
        </w:trPr>
        <w:tc>
          <w:tcPr>
            <w:tcW w:w="723" w:type="dxa"/>
          </w:tcPr>
          <w:p>
            <w:pPr>
              <w:spacing w:before="126" w:line="227" w:lineRule="auto"/>
              <w:ind w:left="112"/>
              <w:rPr>
                <w:rFonts w:ascii="宋体" w:hAnsi="宋体" w:cs="宋体" w:hint="default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8"/>
                <w:sz w:val="20"/>
                <w:szCs w:val="20"/>
                <w:lang w:val="en-US" w:eastAsia="zh-CN"/>
              </w:rPr>
              <w:t>8</w:t>
            </w:r>
          </w:p>
        </w:tc>
        <w:tc>
          <w:tcPr>
            <w:tcW w:w="2927" w:type="dxa"/>
            <w:vAlign w:val="bottom"/>
          </w:tcPr>
          <w:p>
            <w:pPr>
              <w:rPr>
                <w:rFonts w:ascii="宋体" w:eastAsia="宋体" w:hAnsi="宋体" w:cs="宋体" w:hint="default"/>
                <w:sz w:val="16"/>
                <w:szCs w:val="16"/>
                <w:lang w:val="en-US" w:eastAsia="zh-CN"/>
              </w:rPr>
            </w:pPr>
            <w:r>
              <w:rPr>
                <w:sz w:val="18"/>
                <w:szCs w:val="18"/>
              </w:rPr>
              <w:t>桐乡市崇福镇茅桥埭股份经济合作社</w:t>
            </w:r>
          </w:p>
        </w:tc>
        <w:tc>
          <w:tcPr>
            <w:tcW w:w="50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571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77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1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8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98.7%</w:t>
            </w:r>
          </w:p>
        </w:tc>
      </w:tr>
      <w:tr>
        <w:tblPrEx>
          <w:tblW w:w="830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/>
        </w:trPr>
        <w:tc>
          <w:tcPr>
            <w:tcW w:w="723" w:type="dxa"/>
          </w:tcPr>
          <w:p>
            <w:pPr>
              <w:spacing w:before="126" w:line="227" w:lineRule="auto"/>
              <w:ind w:left="112"/>
              <w:rPr>
                <w:rFonts w:ascii="宋体" w:eastAsia="宋体" w:hAnsi="宋体" w:cs="宋体" w:hint="default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8"/>
                <w:sz w:val="20"/>
                <w:szCs w:val="20"/>
                <w:lang w:val="en-US" w:eastAsia="zh-CN"/>
              </w:rPr>
              <w:t>9</w:t>
            </w:r>
          </w:p>
        </w:tc>
        <w:tc>
          <w:tcPr>
            <w:tcW w:w="2927" w:type="dxa"/>
            <w:vAlign w:val="bottom"/>
          </w:tcPr>
          <w:p>
            <w:pPr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sz w:val="18"/>
                <w:szCs w:val="18"/>
              </w:rPr>
              <w:t>桐乡市乌镇镇人民政府</w:t>
            </w:r>
          </w:p>
        </w:tc>
        <w:tc>
          <w:tcPr>
            <w:tcW w:w="501" w:type="dxa"/>
            <w:shd w:val="clear" w:color="auto" w:fill="auto"/>
          </w:tcPr>
          <w:p>
            <w:pPr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13" w:type="dxa"/>
            <w:shd w:val="clear" w:color="auto" w:fill="auto"/>
          </w:tcPr>
          <w:p>
            <w:pPr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66" w:type="dxa"/>
            <w:shd w:val="clear" w:color="auto" w:fill="auto"/>
          </w:tcPr>
          <w:p>
            <w:pPr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571" w:type="dxa"/>
            <w:shd w:val="clear" w:color="auto" w:fill="auto"/>
          </w:tcPr>
          <w:p>
            <w:pPr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77" w:type="dxa"/>
            <w:shd w:val="clear" w:color="auto" w:fill="auto"/>
          </w:tcPr>
          <w:p>
            <w:pPr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1" w:type="dxa"/>
            <w:shd w:val="clear" w:color="auto" w:fill="auto"/>
          </w:tcPr>
          <w:p>
            <w:pPr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  <w:shd w:val="clear" w:color="auto" w:fill="auto"/>
          </w:tcPr>
          <w:p>
            <w:pPr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68" w:type="dxa"/>
            <w:shd w:val="clear" w:color="auto" w:fill="auto"/>
          </w:tcPr>
          <w:p>
            <w:pPr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>
            <w:pPr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98.7%</w:t>
            </w:r>
          </w:p>
        </w:tc>
      </w:tr>
      <w:tr>
        <w:tblPrEx>
          <w:tblW w:w="830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/>
        </w:trPr>
        <w:tc>
          <w:tcPr>
            <w:tcW w:w="723" w:type="dxa"/>
          </w:tcPr>
          <w:p>
            <w:pPr>
              <w:spacing w:before="126" w:line="227" w:lineRule="auto"/>
              <w:ind w:left="112"/>
              <w:rPr>
                <w:rFonts w:ascii="宋体" w:eastAsia="宋体" w:hAnsi="宋体" w:cs="宋体" w:hint="default"/>
                <w:spacing w:val="8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8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2927" w:type="dxa"/>
            <w:vAlign w:val="bottom"/>
          </w:tcPr>
          <w:p>
            <w:pPr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sz w:val="18"/>
                <w:szCs w:val="18"/>
              </w:rPr>
              <w:t>浙江传媒学院桐乡校区</w:t>
            </w:r>
          </w:p>
        </w:tc>
        <w:tc>
          <w:tcPr>
            <w:tcW w:w="501" w:type="dxa"/>
            <w:shd w:val="clear" w:color="auto" w:fill="auto"/>
          </w:tcPr>
          <w:p>
            <w:pPr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10</w:t>
            </w:r>
          </w:p>
        </w:tc>
        <w:tc>
          <w:tcPr>
            <w:tcW w:w="513" w:type="dxa"/>
            <w:shd w:val="clear" w:color="auto" w:fill="auto"/>
          </w:tcPr>
          <w:p>
            <w:pPr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466" w:type="dxa"/>
            <w:shd w:val="clear" w:color="auto" w:fill="auto"/>
          </w:tcPr>
          <w:p>
            <w:pPr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10</w:t>
            </w:r>
          </w:p>
        </w:tc>
        <w:tc>
          <w:tcPr>
            <w:tcW w:w="571" w:type="dxa"/>
            <w:shd w:val="clear" w:color="auto" w:fill="auto"/>
          </w:tcPr>
          <w:p>
            <w:pPr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77" w:type="dxa"/>
            <w:shd w:val="clear" w:color="auto" w:fill="auto"/>
          </w:tcPr>
          <w:p>
            <w:pPr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10</w:t>
            </w:r>
          </w:p>
        </w:tc>
        <w:tc>
          <w:tcPr>
            <w:tcW w:w="451" w:type="dxa"/>
            <w:shd w:val="clear" w:color="auto" w:fill="auto"/>
          </w:tcPr>
          <w:p>
            <w:pPr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456" w:type="dxa"/>
            <w:shd w:val="clear" w:color="auto" w:fill="auto"/>
          </w:tcPr>
          <w:p>
            <w:pPr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t>10</w:t>
            </w:r>
          </w:p>
        </w:tc>
        <w:tc>
          <w:tcPr>
            <w:tcW w:w="468" w:type="dxa"/>
            <w:shd w:val="clear" w:color="auto" w:fill="auto"/>
          </w:tcPr>
          <w:p>
            <w:pPr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756" w:type="dxa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98.7%</w:t>
            </w:r>
          </w:p>
        </w:tc>
      </w:tr>
      <w:tr>
        <w:tblPrEx>
          <w:tblW w:w="8309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/>
        </w:trPr>
        <w:tc>
          <w:tcPr>
            <w:tcW w:w="723" w:type="dxa"/>
          </w:tcPr>
          <w:p>
            <w:pPr>
              <w:spacing w:before="126" w:line="227" w:lineRule="auto"/>
              <w:ind w:left="112"/>
              <w:rPr>
                <w:rFonts w:ascii="宋体" w:eastAsia="宋体" w:hAnsi="宋体" w:cs="宋体" w:hint="default"/>
                <w:spacing w:val="8"/>
                <w:sz w:val="20"/>
                <w:szCs w:val="20"/>
                <w:lang w:val="en-US" w:eastAsia="zh-CN"/>
              </w:rPr>
            </w:pPr>
          </w:p>
        </w:tc>
        <w:tc>
          <w:tcPr>
            <w:tcW w:w="2927" w:type="dxa"/>
          </w:tcPr>
          <w:p>
            <w:pPr>
              <w:spacing w:before="126" w:line="227" w:lineRule="auto"/>
              <w:rPr>
                <w:rFonts w:ascii="宋体" w:hAnsi="宋体" w:cs="宋体" w:hint="default"/>
                <w:sz w:val="16"/>
                <w:szCs w:val="16"/>
                <w:lang w:val="en-US"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lang w:val="en-US" w:eastAsia="zh-CN"/>
              </w:rPr>
              <w:t>各维度平均满意度</w:t>
            </w:r>
          </w:p>
        </w:tc>
        <w:tc>
          <w:tcPr>
            <w:tcW w:w="501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513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99%</w:t>
            </w:r>
          </w:p>
        </w:tc>
        <w:tc>
          <w:tcPr>
            <w:tcW w:w="46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98%</w:t>
            </w:r>
          </w:p>
        </w:tc>
        <w:tc>
          <w:tcPr>
            <w:tcW w:w="571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99%</w:t>
            </w:r>
          </w:p>
        </w:tc>
        <w:tc>
          <w:tcPr>
            <w:tcW w:w="477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451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4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99%</w:t>
            </w:r>
          </w:p>
        </w:tc>
        <w:tc>
          <w:tcPr>
            <w:tcW w:w="468" w:type="dxa"/>
          </w:tcPr>
          <w:p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100%</w:t>
            </w:r>
          </w:p>
        </w:tc>
        <w:tc>
          <w:tcPr>
            <w:tcW w:w="756" w:type="dxa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99.4%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8" w:name="_Toc12298"/>
      <w:r>
        <w:rPr>
          <w:rFonts w:hint="default"/>
          <w:lang w:val="en-US" w:eastAsia="zh-CN"/>
        </w:rPr>
        <w:t>整体满意度结果</w:t>
      </w:r>
      <w:bookmarkEnd w:id="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本次调查的整体客户满意度得分为</w:t>
      </w:r>
      <w:r>
        <w:rPr>
          <w:rFonts w:hint="eastAsia"/>
          <w:lang w:val="en-US" w:eastAsia="zh-CN"/>
        </w:rPr>
        <w:t>99.4%，</w:t>
      </w:r>
      <w:r>
        <w:rPr>
          <w:rFonts w:hint="default"/>
          <w:lang w:val="en-US" w:eastAsia="zh-CN"/>
        </w:rPr>
        <w:t>超过公司设定的年度目标值，</w:t>
      </w:r>
      <w:r>
        <w:rPr>
          <w:rFonts w:hint="eastAsia"/>
          <w:lang w:val="en-US" w:eastAsia="zh-CN"/>
        </w:rPr>
        <w:t>并比上半年有所提升，表明下半年改进措施取得明显成效</w:t>
      </w:r>
      <w:r>
        <w:rPr>
          <w:rFonts w:hint="default"/>
          <w:lang w:val="en-US" w:eastAsia="zh-CN"/>
        </w:rPr>
        <w:t>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045"/>
      <w:r>
        <w:rPr>
          <w:rFonts w:hint="default"/>
          <w:lang w:val="en-US" w:eastAsia="zh-CN"/>
        </w:rPr>
        <w:t>各维度满意度分析</w:t>
      </w:r>
      <w:bookmarkEnd w:id="9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8"/>
        <w:gridCol w:w="2714"/>
        <w:gridCol w:w="2714"/>
        <w:gridCol w:w="1379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维度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上半年满意度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下半年满意度</w:t>
            </w:r>
          </w:p>
        </w:tc>
        <w:tc>
          <w:tcPr>
            <w:tcW w:w="137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变化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服务响应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不变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专业技术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99%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下降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问题解决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92.5%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98%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上升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沟通协调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99%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上升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服务态度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97.5%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上升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文档质量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不变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主动服务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97.5%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99%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上升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8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整体价值</w:t>
            </w:r>
          </w:p>
        </w:tc>
        <w:tc>
          <w:tcPr>
            <w:tcW w:w="271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98.7%</w:t>
            </w:r>
          </w:p>
        </w:tc>
        <w:tc>
          <w:tcPr>
            <w:tcW w:w="271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上升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0" w:name="_Toc29739"/>
      <w:r>
        <w:rPr>
          <w:rFonts w:hint="default"/>
          <w:lang w:val="en-US" w:eastAsia="zh-CN"/>
        </w:rPr>
        <w:t>结论与总结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20854"/>
      <w:r>
        <w:rPr>
          <w:rFonts w:hint="eastAsia"/>
          <w:lang w:val="en-US" w:eastAsia="zh-CN"/>
        </w:rPr>
        <w:t>下半年工作总结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本次客户满意度调查结果表明，公司2025年下半年的运维服务整体满意度达99.4%，较上半年稳步提升，所有维度均保持在较高水平。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上半年识别出的“沟通协调”薄弱环节得到有效改善，验证了质量管理部、运维部及人力资源部联合推进的《满意度管理制度》和《沟通管理制度》宣贯工作的积极成效。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6753"/>
      <w:r>
        <w:rPr>
          <w:rFonts w:hint="default"/>
          <w:lang w:val="en-US" w:eastAsia="zh-CN"/>
        </w:rPr>
        <w:t>下一步工作</w:t>
      </w:r>
      <w:bookmarkEnd w:id="1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持续跟踪：针对“专业技术”维度出现的轻微波动，由运维部组织技术能力复盘，制定专项提升计划。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年度总结：将本报告及全年满意度数据汇总提交至年度管理评审会议，作为2026年服务质量目标制定的依据。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机制固化：将“定期调查+专项改进+效果验证”的闭环机制纳入标准化流程，持续推动服务质量螺旋上升。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优秀案例推广：对连续两次获得满分的客户服务案例进行内部复盘与经验推广。</w:t>
      </w:r>
    </w:p>
    <w:sectPr>
      <w:headerReference w:type="default" r:id="rId8"/>
      <w:footerReference w:type="default" r:id="rId9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2" w:lineRule="auto"/>
      <w:ind w:left="4345"/>
      <w:rPr>
        <w:rFonts w:ascii="宋体" w:eastAsia="宋体" w:hAnsi="宋体" w:cs="宋体"/>
        <w:sz w:val="21"/>
        <w:szCs w:val="21"/>
      </w:rPr>
    </w:pPr>
    <w:r>
      <w:rPr>
        <w:rFonts w:ascii="宋体" w:eastAsia="宋体" w:hAnsi="宋体" w:cs="宋体"/>
        <w:sz w:val="21"/>
        <w:szCs w:val="21"/>
      </w:rPr>
      <w:t>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numbering" Target="numbering.xml" /><Relationship Id="rId12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header" Target="header1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1491</Words>
  <Characters>1804</Characters>
  <Application>Microsoft Office Word</Application>
  <DocSecurity>0</DocSecurity>
  <Lines>0</Lines>
  <Paragraphs>0</Paragraphs>
  <ScaleCrop>false</ScaleCrop>
  <Company/>
  <LinksUpToDate>false</LinksUpToDate>
  <CharactersWithSpaces>1852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2026-04-24T16:12:23Z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