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1969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13177"/>
      <w:r>
        <w:rPr>
          <w:rFonts w:hint="eastAsia"/>
          <w:lang w:val="en-US" w:eastAsia="zh-CN"/>
        </w:rPr>
        <w:t>2026年度运维服务质量管理计划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18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质量管理部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u w:val="single"/>
                <w:vertAlign w:val="baselin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6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.01.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李伟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bookmarkStart w:id="2" w:name="_GoBack"/>
          <w:bookmarkEnd w:id="2"/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_Toc21969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_Toc21969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_Toc13177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2026年度运维服务质量管理计划</w:t>
          </w:r>
          <w:r>
            <w:tab/>
          </w:r>
          <w:r>
            <w:fldChar w:fldCharType="begin"/>
          </w:r>
          <w:r>
            <w:instrText xml:space="preserve"> PAGEREF _Toc13177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_Toc31589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_Toc31589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_Toc21733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_Toc21733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_Toc30925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质量管理目标</w:t>
          </w:r>
          <w:r>
            <w:tab/>
          </w:r>
          <w:r>
            <w:fldChar w:fldCharType="begin"/>
          </w:r>
          <w:r>
            <w:instrText xml:space="preserve"> PAGEREF _Toc30925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_Toc28498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质量保证组织与职责</w:t>
          </w:r>
          <w:r>
            <w:tab/>
          </w:r>
          <w:r>
            <w:fldChar w:fldCharType="begin"/>
          </w:r>
          <w:r>
            <w:instrText xml:space="preserve"> PAGEREF _Toc28498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_Toc19130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质量保证活动与实施计划</w:t>
          </w:r>
          <w:r>
            <w:tab/>
          </w:r>
          <w:r>
            <w:fldChar w:fldCharType="begin"/>
          </w:r>
          <w:r>
            <w:instrText xml:space="preserve"> PAGEREF _Toc19130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_Toc2701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指标监控与数据收集</w:t>
          </w:r>
          <w:r>
            <w:tab/>
          </w:r>
          <w:r>
            <w:fldChar w:fldCharType="begin"/>
          </w:r>
          <w:r>
            <w:instrText xml:space="preserve"> PAGEREF _Toc2701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_Toc26659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内部审核</w:t>
          </w:r>
          <w:r>
            <w:tab/>
          </w:r>
          <w:r>
            <w:fldChar w:fldCharType="begin"/>
          </w:r>
          <w:r>
            <w:instrText xml:space="preserve"> PAGEREF _Toc26659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_Toc32420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t>管理评审</w:t>
          </w:r>
          <w:r>
            <w:tab/>
          </w:r>
          <w:r>
            <w:fldChar w:fldCharType="begin"/>
          </w:r>
          <w:r>
            <w:instrText xml:space="preserve"> PAGEREF _Toc32420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_Toc23047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5.4. </w:t>
          </w:r>
          <w:r>
            <w:t>满意度调查</w:t>
          </w:r>
          <w:r>
            <w:tab/>
          </w:r>
          <w:r>
            <w:fldChar w:fldCharType="begin"/>
          </w:r>
          <w:r>
            <w:instrText xml:space="preserve"> PAGEREF _Toc23047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_Toc9499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5.5. </w:t>
          </w:r>
          <w:r>
            <w:t>改进跟踪与闭环</w:t>
          </w:r>
          <w:r>
            <w:tab/>
          </w:r>
          <w:r>
            <w:fldChar w:fldCharType="begin"/>
          </w:r>
          <w:r>
            <w:instrText xml:space="preserve"> PAGEREF _Toc9499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_Toc15956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质量保证活动时间表</w:t>
          </w:r>
          <w:r>
            <w:tab/>
          </w:r>
          <w:r>
            <w:fldChar w:fldCharType="begin"/>
          </w:r>
          <w:r>
            <w:instrText xml:space="preserve"> PAGEREF _Toc15956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_Toc3261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_Toc3261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heading_1"/>
      <w:bookmarkStart w:id="4" w:name="_Toc31589"/>
      <w:r>
        <w:t>目的</w:t>
      </w:r>
      <w:bookmarkEnd w:id="3"/>
      <w:bookmarkEnd w:id="4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系统性地规划、执行与监督公司运维服务全过程的年度质量保证活动，确保服务交付、管理体系和技术研发符合既定的质量标准、SLA承诺及公司战略要求，在2025年质量管理成果基础上持续改进，特制定本计划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heading_2"/>
      <w:bookmarkStart w:id="6" w:name="_Toc21733"/>
      <w:r>
        <w:t>适用范围</w:t>
      </w:r>
      <w:bookmarkEnd w:id="5"/>
      <w:bookmarkEnd w:id="6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本计划适用于公司所有运维服务项目、过程活动及相关支持活动的质量管理。涵盖服务交付、技术研发、知识管理、应急响应、客户满意度管理以及运维管理体系本身的有效性评估。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heading_3"/>
      <w:bookmarkStart w:id="8" w:name="_Toc30925"/>
      <w:r>
        <w:t>质量管理目标</w:t>
      </w:r>
      <w:bookmarkEnd w:id="7"/>
      <w:bookmarkEnd w:id="8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2026年度质量保证工作的核心目标是确保各项质量KPI持续达成。</w:t>
      </w:r>
    </w:p>
    <w:tbl>
      <w:tblPr>
        <w:tblStyle w:val="TableNormal"/>
        <w:tblW w:w="7993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357"/>
        <w:gridCol w:w="1692"/>
        <w:gridCol w:w="1836"/>
        <w:gridCol w:w="3108"/>
      </w:tblGrid>
      <w:tr>
        <w:tblPrEx>
          <w:tblW w:w="7993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357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指标类别</w:t>
            </w:r>
          </w:p>
        </w:tc>
        <w:tc>
          <w:tcPr>
            <w:tcW w:w="169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关键指标名称</w:t>
            </w:r>
          </w:p>
        </w:tc>
        <w:tc>
          <w:tcPr>
            <w:tcW w:w="183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2026年目标值</w:t>
            </w:r>
          </w:p>
        </w:tc>
        <w:tc>
          <w:tcPr>
            <w:tcW w:w="310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质量保证关注重点</w:t>
            </w:r>
          </w:p>
        </w:tc>
      </w:tr>
      <w:tr>
        <w:tblPrEx>
          <w:tblW w:w="7993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5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质量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客户满意度</w:t>
            </w:r>
          </w:p>
        </w:tc>
        <w:tc>
          <w:tcPr>
            <w:tcW w:w="183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≥9</w:t>
            </w:r>
            <w:r>
              <w:rPr>
                <w:rFonts w:hint="eastAsia"/>
                <w:lang w:val="en-US" w:eastAsia="zh-CN"/>
              </w:rPr>
              <w:t>0</w:t>
            </w:r>
            <w:r>
              <w:t>%</w:t>
            </w:r>
          </w:p>
        </w:tc>
        <w:tc>
          <w:tcPr>
            <w:tcW w:w="310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持续提升体验，保持高水平</w:t>
            </w:r>
          </w:p>
        </w:tc>
      </w:tr>
      <w:tr>
        <w:tblPrEx>
          <w:tblW w:w="7993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5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质量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客户投诉次数</w:t>
            </w:r>
          </w:p>
        </w:tc>
        <w:tc>
          <w:tcPr>
            <w:tcW w:w="183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≤</w:t>
            </w:r>
            <w:r>
              <w:rPr>
                <w:rFonts w:hint="eastAsia"/>
                <w:lang w:val="en-US" w:eastAsia="zh-CN"/>
              </w:rPr>
              <w:t>2</w:t>
            </w:r>
            <w:r>
              <w:t>次</w:t>
            </w:r>
          </w:p>
        </w:tc>
        <w:tc>
          <w:tcPr>
            <w:tcW w:w="310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预防与快速处理</w:t>
            </w:r>
          </w:p>
        </w:tc>
      </w:tr>
      <w:tr>
        <w:tblPrEx>
          <w:tblW w:w="7993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5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质量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内审次数</w:t>
            </w:r>
          </w:p>
        </w:tc>
        <w:tc>
          <w:tcPr>
            <w:tcW w:w="183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≥1次/年</w:t>
            </w:r>
          </w:p>
        </w:tc>
        <w:tc>
          <w:tcPr>
            <w:tcW w:w="310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体系符合性验证</w:t>
            </w:r>
          </w:p>
        </w:tc>
      </w:tr>
      <w:tr>
        <w:tblPrEx>
          <w:tblW w:w="7993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5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质量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管理评审次数</w:t>
            </w:r>
          </w:p>
        </w:tc>
        <w:tc>
          <w:tcPr>
            <w:tcW w:w="18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≥1次/年</w:t>
            </w:r>
          </w:p>
        </w:tc>
        <w:tc>
          <w:tcPr>
            <w:tcW w:w="310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体系持续适宜性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heading_4"/>
      <w:bookmarkStart w:id="10" w:name="_Toc28498"/>
      <w:r>
        <w:t>质量保证组织与职责</w:t>
      </w:r>
      <w:bookmarkEnd w:id="9"/>
      <w:bookmarkEnd w:id="10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220"/>
        <w:gridCol w:w="1727"/>
        <w:gridCol w:w="5575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角色</w:t>
            </w:r>
          </w:p>
        </w:tc>
        <w:tc>
          <w:tcPr>
            <w:tcW w:w="172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所在部门</w:t>
            </w:r>
          </w:p>
        </w:tc>
        <w:tc>
          <w:tcPr>
            <w:tcW w:w="557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质量保证职责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组长</w:t>
            </w:r>
          </w:p>
        </w:tc>
        <w:tc>
          <w:tcPr>
            <w:tcW w:w="17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质量管理部</w:t>
            </w:r>
          </w:p>
        </w:tc>
        <w:tc>
          <w:tcPr>
            <w:tcW w:w="55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总体负责本计划的批准、发布与执行监督；主持内部审核与管理评审会议；审批重大不符合项报告及改进计划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执行专员</w:t>
            </w:r>
          </w:p>
        </w:tc>
        <w:tc>
          <w:tcPr>
            <w:tcW w:w="17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质量管理部</w:t>
            </w:r>
          </w:p>
        </w:tc>
        <w:tc>
          <w:tcPr>
            <w:tcW w:w="55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具体组织实施各项质量保证活动；监控KPI数据；编制《季度KPI监控报告》；跟踪所有不符合项及改进措施的闭环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2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数据/过程责任人</w:t>
            </w:r>
          </w:p>
        </w:tc>
        <w:tc>
          <w:tcPr>
            <w:tcW w:w="172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运维部、研发部、人力资源部等</w:t>
            </w:r>
          </w:p>
        </w:tc>
        <w:tc>
          <w:tcPr>
            <w:tcW w:w="557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负责达成所属KPI；按时、准确向质量管理部报送负责的指标数据及支撑材料；参与内审，对发现的不符合项负责制定并执行纠正措施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heading_5"/>
      <w:bookmarkStart w:id="12" w:name="_Toc19130"/>
      <w:r>
        <w:t>质量保证活动与实施计划</w:t>
      </w:r>
      <w:bookmarkEnd w:id="11"/>
      <w:bookmarkEnd w:id="12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heading_6"/>
      <w:bookmarkStart w:id="14" w:name="_Toc2701"/>
      <w:r>
        <w:t>指标监控与数据收集</w:t>
      </w:r>
      <w:bookmarkEnd w:id="13"/>
      <w:bookmarkEnd w:id="14"/>
    </w:p>
    <w:p>
      <w:pPr>
        <w:pStyle w:val="a4"/>
        <w:numPr>
          <w:ilvl w:val="0"/>
          <w:numId w:val="2"/>
        </w:numPr>
        <w:bidi w:val="0"/>
        <w:ind w:left="425" w:hanging="425" w:leftChars="0" w:firstLineChars="0"/>
      </w:pPr>
      <w:r>
        <w:t>活动：建立基于KPI的常态化数据监控机制</w:t>
      </w:r>
    </w:p>
    <w:p>
      <w:pPr>
        <w:pStyle w:val="a4"/>
        <w:numPr>
          <w:ilvl w:val="0"/>
          <w:numId w:val="2"/>
        </w:numPr>
        <w:bidi w:val="0"/>
        <w:ind w:left="425" w:hanging="425" w:leftChars="0" w:firstLineChars="0"/>
      </w:pPr>
      <w:r>
        <w:t>实施：质量管理部根据指标体系频度（月度、季度、半年度、年度），制定《KPI数据收集计划表》；各责任部门在规定时间内提交数据；执行专员对数据进行逻辑校验与抽样复核</w:t>
      </w:r>
    </w:p>
    <w:p>
      <w:pPr>
        <w:pStyle w:val="a4"/>
        <w:numPr>
          <w:ilvl w:val="0"/>
          <w:numId w:val="2"/>
        </w:numPr>
        <w:bidi w:val="0"/>
        <w:ind w:left="425" w:hanging="425" w:leftChars="0" w:firstLineChars="0"/>
      </w:pPr>
      <w:r>
        <w:t>输出：《KPI数据收集台账》、《月度/季度KPI监控报告》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" w:name="heading_7"/>
      <w:bookmarkStart w:id="16" w:name="_Toc26659"/>
      <w:r>
        <w:t>内部审核</w:t>
      </w:r>
      <w:bookmarkEnd w:id="15"/>
      <w:bookmarkEnd w:id="16"/>
    </w:p>
    <w:p>
      <w:pPr>
        <w:pStyle w:val="a4"/>
        <w:numPr>
          <w:ilvl w:val="0"/>
          <w:numId w:val="3"/>
        </w:numPr>
        <w:bidi w:val="0"/>
        <w:ind w:left="425" w:hanging="425" w:leftChars="0" w:firstLineChars="0"/>
      </w:pPr>
      <w:r>
        <w:t>活动：对运维服务管理体系的全面、系统审核</w:t>
      </w:r>
    </w:p>
    <w:p>
      <w:pPr>
        <w:pStyle w:val="a4"/>
        <w:numPr>
          <w:ilvl w:val="0"/>
          <w:numId w:val="3"/>
        </w:numPr>
        <w:bidi w:val="0"/>
        <w:ind w:left="425" w:hanging="425" w:leftChars="0" w:firstLineChars="0"/>
      </w:pPr>
      <w:r>
        <w:t>实施：每年至少进行一次；审核范围覆盖所有与指标体系相关的部门及活动</w:t>
      </w:r>
    </w:p>
    <w:p>
      <w:pPr>
        <w:pStyle w:val="a4"/>
        <w:numPr>
          <w:ilvl w:val="0"/>
          <w:numId w:val="3"/>
        </w:numPr>
        <w:bidi w:val="0"/>
        <w:ind w:left="425" w:hanging="425" w:leftChars="0" w:firstLineChars="0"/>
      </w:pPr>
      <w:r>
        <w:t>输出：《内部审核计划》、《内部审核检查表》、《内部审核报告》、《不符合项报告》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heading_8"/>
      <w:bookmarkStart w:id="18" w:name="_Toc32420"/>
      <w:r>
        <w:t>管理评审</w:t>
      </w:r>
      <w:bookmarkEnd w:id="17"/>
      <w:bookmarkEnd w:id="18"/>
    </w:p>
    <w:p>
      <w:pPr>
        <w:pStyle w:val="a4"/>
        <w:numPr>
          <w:ilvl w:val="0"/>
          <w:numId w:val="4"/>
        </w:numPr>
        <w:bidi w:val="0"/>
        <w:ind w:left="425" w:hanging="425" w:leftChars="0" w:firstLineChars="0"/>
      </w:pPr>
      <w:r>
        <w:t>活动：由最高管理者主持，评价体系的持续适宜性、充分性和有效性</w:t>
      </w:r>
    </w:p>
    <w:p>
      <w:pPr>
        <w:pStyle w:val="a4"/>
        <w:numPr>
          <w:ilvl w:val="0"/>
          <w:numId w:val="4"/>
        </w:numPr>
        <w:bidi w:val="0"/>
        <w:ind w:left="425" w:hanging="425" w:leftChars="0" w:firstLineChars="0"/>
      </w:pPr>
      <w:r>
        <w:t>实施：每年至少进行一次；输入材料包括《年度KPI达成情况分析报告》、《内部审核报告》、《客户满意度分析报告》等</w:t>
      </w:r>
    </w:p>
    <w:p>
      <w:pPr>
        <w:pStyle w:val="a4"/>
        <w:numPr>
          <w:ilvl w:val="0"/>
          <w:numId w:val="4"/>
        </w:numPr>
        <w:bidi w:val="0"/>
        <w:ind w:left="425" w:hanging="425" w:leftChars="0" w:firstLineChars="0"/>
      </w:pPr>
      <w:r>
        <w:t>输出：《管理评审计划》、《管理评审报告》、《改进措施决议表》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9" w:name="heading_9"/>
      <w:bookmarkStart w:id="20" w:name="_Toc23047"/>
      <w:r>
        <w:t>满意度调查</w:t>
      </w:r>
      <w:bookmarkEnd w:id="19"/>
      <w:bookmarkEnd w:id="20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为持续了解客户需求与期望，评价服务绩效，2026年计划进行两次全面的客户满意度调查：</w:t>
      </w:r>
    </w:p>
    <w:p>
      <w:pPr>
        <w:pStyle w:val="a4"/>
        <w:numPr>
          <w:ilvl w:val="0"/>
          <w:numId w:val="5"/>
        </w:numPr>
        <w:bidi w:val="0"/>
        <w:ind w:left="425" w:hanging="425" w:leftChars="0" w:firstLineChars="0"/>
      </w:pPr>
      <w:r>
        <w:t>频次与时间：2026年6月（年中）、2026年12月（年末）</w:t>
      </w:r>
    </w:p>
    <w:p>
      <w:pPr>
        <w:pStyle w:val="a4"/>
        <w:numPr>
          <w:ilvl w:val="0"/>
          <w:numId w:val="5"/>
        </w:numPr>
        <w:bidi w:val="0"/>
        <w:ind w:left="425" w:hanging="425" w:leftChars="0" w:firstLineChars="0"/>
      </w:pPr>
      <w:r>
        <w:t>调查方式：线上问卷（为主）与关键客户访谈（为辅）相结合</w:t>
      </w:r>
    </w:p>
    <w:p>
      <w:pPr>
        <w:pStyle w:val="a4"/>
        <w:numPr>
          <w:ilvl w:val="0"/>
          <w:numId w:val="5"/>
        </w:numPr>
        <w:bidi w:val="0"/>
        <w:ind w:left="425" w:hanging="425" w:leftChars="0" w:firstLineChars="0"/>
      </w:pPr>
      <w:r>
        <w:t>问卷设计：覆盖服务响应、解决能力、沟通、整体满意度等维度</w:t>
      </w:r>
    </w:p>
    <w:p>
      <w:pPr>
        <w:pStyle w:val="a4"/>
        <w:numPr>
          <w:ilvl w:val="0"/>
          <w:numId w:val="5"/>
        </w:numPr>
        <w:bidi w:val="0"/>
        <w:ind w:left="425" w:hanging="425" w:leftChars="0" w:firstLineChars="0"/>
      </w:pPr>
      <w:r>
        <w:t>数据分析：计算整体满意度得分，分析各维度得分、客户书面意见</w:t>
      </w:r>
    </w:p>
    <w:p>
      <w:pPr>
        <w:pStyle w:val="a4"/>
        <w:numPr>
          <w:ilvl w:val="0"/>
          <w:numId w:val="5"/>
        </w:numPr>
        <w:bidi w:val="0"/>
        <w:ind w:left="425" w:hanging="425" w:leftChars="0" w:firstLineChars="0"/>
      </w:pPr>
      <w:r>
        <w:t>改进跟踪：将确需改进的事项纳入《质量改进跟踪台账》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heading_10"/>
      <w:bookmarkStart w:id="22" w:name="_Toc9499"/>
      <w:r>
        <w:t>改进跟踪与闭环</w:t>
      </w:r>
      <w:bookmarkEnd w:id="21"/>
      <w:bookmarkEnd w:id="22"/>
    </w:p>
    <w:p>
      <w:pPr>
        <w:pStyle w:val="a4"/>
        <w:numPr>
          <w:ilvl w:val="0"/>
          <w:numId w:val="6"/>
        </w:numPr>
        <w:bidi w:val="0"/>
        <w:ind w:left="425" w:hanging="425" w:leftChars="0" w:firstLineChars="0"/>
      </w:pPr>
      <w:r>
        <w:t>活动：对所有监控、检查、审核、评审中发现的不符合项或改进机会进行系统跟踪</w:t>
      </w:r>
    </w:p>
    <w:p>
      <w:pPr>
        <w:pStyle w:val="a4"/>
        <w:numPr>
          <w:ilvl w:val="0"/>
          <w:numId w:val="6"/>
        </w:numPr>
        <w:bidi w:val="0"/>
        <w:ind w:left="425" w:hanging="425" w:leftChars="0" w:firstLineChars="0"/>
      </w:pPr>
      <w:r>
        <w:t>实施：建立《质量改进跟踪台账》，记录问题来源、责任部门、纠正预防措施计划及完成状态；定期跟踪整改进度，验证措施有效性</w:t>
      </w:r>
    </w:p>
    <w:p>
      <w:pPr>
        <w:pStyle w:val="a4"/>
        <w:numPr>
          <w:ilvl w:val="0"/>
          <w:numId w:val="6"/>
        </w:numPr>
        <w:bidi w:val="0"/>
        <w:ind w:left="425" w:hanging="425" w:leftChars="0" w:firstLineChars="0"/>
      </w:pPr>
      <w:r>
        <w:t>输出：《质量改进跟踪台账》、《纠正与预防措施报告》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3" w:name="heading_11"/>
      <w:bookmarkStart w:id="24" w:name="_Toc15956"/>
      <w:r>
        <w:t>质量保证活动时间表</w:t>
      </w:r>
      <w:bookmarkEnd w:id="23"/>
      <w:bookmarkEnd w:id="24"/>
    </w:p>
    <w:tbl>
      <w:tblPr>
        <w:tblStyle w:val="TableNormal"/>
        <w:tblW w:w="875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621"/>
        <w:gridCol w:w="1700"/>
        <w:gridCol w:w="1580"/>
        <w:gridCol w:w="1580"/>
        <w:gridCol w:w="1700"/>
        <w:gridCol w:w="1575"/>
      </w:tblGrid>
      <w:tr>
        <w:tblPrEx>
          <w:tblW w:w="8756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62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质量保证活动</w:t>
            </w:r>
          </w:p>
        </w:tc>
        <w:tc>
          <w:tcPr>
            <w:tcW w:w="158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关联KPI</w:t>
            </w:r>
          </w:p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（示例）</w:t>
            </w:r>
          </w:p>
        </w:tc>
        <w:tc>
          <w:tcPr>
            <w:tcW w:w="158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责任部门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主要时间节点</w:t>
            </w:r>
          </w:p>
        </w:tc>
        <w:tc>
          <w:tcPr>
            <w:tcW w:w="157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关键输出物</w:t>
            </w:r>
          </w:p>
        </w:tc>
      </w:tr>
      <w:tr>
        <w:tblPrEx>
          <w:tblW w:w="8756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KPI数据月度监控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事件解决率、服务可用率等月度指标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质量管理专员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每月前5个工作日</w:t>
            </w:r>
          </w:p>
        </w:tc>
        <w:tc>
          <w:tcPr>
            <w:tcW w:w="15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《月度KPI监控简报》</w:t>
            </w:r>
          </w:p>
        </w:tc>
      </w:tr>
      <w:tr>
        <w:tblPrEx>
          <w:tblW w:w="8756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KPI数据季度分析与报告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SLA达成率、培训完成率等季度指标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质量管理部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每季度首月第10个工作日前</w:t>
            </w:r>
          </w:p>
        </w:tc>
        <w:tc>
          <w:tcPr>
            <w:tcW w:w="15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《季度KPI达成情况分析报告》</w:t>
            </w:r>
          </w:p>
        </w:tc>
      </w:tr>
      <w:tr>
        <w:tblPrEx>
          <w:tblW w:w="8756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客户满意度调查与分析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客户满意度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服务台（执行）、质量管理部（分析）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2026年6月、2026年12月</w:t>
            </w:r>
          </w:p>
        </w:tc>
        <w:tc>
          <w:tcPr>
            <w:tcW w:w="15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《半年度客户满意度调查报告》</w:t>
            </w:r>
          </w:p>
        </w:tc>
      </w:tr>
      <w:tr>
        <w:tblPrEx>
          <w:tblW w:w="8756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内部审核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内审次数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质量管理部、内审组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2026年12月</w:t>
            </w:r>
          </w:p>
        </w:tc>
        <w:tc>
          <w:tcPr>
            <w:tcW w:w="15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《内部审核报告》及系列文件</w:t>
            </w:r>
          </w:p>
        </w:tc>
      </w:tr>
      <w:tr>
        <w:tblPrEx>
          <w:tblW w:w="8756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管理评审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管理评审次数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公司管理层、质量管理部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2026年12月</w:t>
            </w:r>
          </w:p>
        </w:tc>
        <w:tc>
          <w:tcPr>
            <w:tcW w:w="15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《管理评审报告》及决议</w:t>
            </w:r>
          </w:p>
        </w:tc>
      </w:tr>
      <w:tr>
        <w:tblPrEx>
          <w:tblW w:w="8756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6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年度质量绩效总结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所有年度指标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质量管理部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2026年12月</w:t>
            </w:r>
          </w:p>
        </w:tc>
        <w:tc>
          <w:tcPr>
            <w:tcW w:w="157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《年度运维服务质量绩效报告》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5" w:name="heading_13"/>
      <w:bookmarkStart w:id="26" w:name="_Toc3261"/>
      <w:r>
        <w:t>附则</w:t>
      </w:r>
      <w:bookmarkEnd w:id="25"/>
      <w:bookmarkEnd w:id="26"/>
    </w:p>
    <w:p>
      <w:pPr>
        <w:pStyle w:val="a4"/>
        <w:numPr>
          <w:ilvl w:val="0"/>
          <w:numId w:val="7"/>
        </w:numPr>
        <w:bidi w:val="0"/>
        <w:ind w:left="425" w:hanging="425" w:leftChars="0" w:firstLineChars="0"/>
      </w:pPr>
      <w:r>
        <w:t>本计划自发布之日起执行，由质量管理部负责解释与修订。</w:t>
      </w:r>
    </w:p>
    <w:p>
      <w:pPr>
        <w:pStyle w:val="a4"/>
        <w:numPr>
          <w:ilvl w:val="0"/>
          <w:numId w:val="7"/>
        </w:numPr>
        <w:bidi w:val="0"/>
        <w:ind w:left="425" w:hanging="425" w:leftChars="0" w:firstLineChars="0"/>
      </w:pPr>
      <w:r>
        <w:t>各相关部门应根据本计划制定具体实施方案。</w:t>
      </w:r>
    </w:p>
    <w:p>
      <w:pPr>
        <w:pStyle w:val="a4"/>
        <w:numPr>
          <w:ilvl w:val="0"/>
          <w:numId w:val="7"/>
        </w:numPr>
        <w:bidi w:val="0"/>
        <w:ind w:left="425" w:hanging="425" w:leftChars="0" w:firstLineChars="0"/>
      </w:pPr>
      <w:r>
        <w:t>本计划执行情况将纳入部门负责人年度绩效考核。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firstLine="0" w:leftChars="0" w:firstLineChars="0"/>
        <w:textAlignment w:val="baseline"/>
        <w:rPr>
          <w:rFonts w:hint="default"/>
          <w:lang w:val="en-US" w:eastAsia="zh-CN"/>
        </w:rPr>
      </w:pP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42601A3"/>
    <w:multiLevelType w:val="singleLevel"/>
    <w:tmpl w:val="942601A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C96ACFCA"/>
    <w:multiLevelType w:val="singleLevel"/>
    <w:tmpl w:val="C96ACFC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F2E58DDE"/>
    <w:multiLevelType w:val="singleLevel"/>
    <w:tmpl w:val="F2E58DDE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3E7B9E6C"/>
    <w:multiLevelType w:val="singleLevel"/>
    <w:tmpl w:val="3E7B9E6C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4C3054F5"/>
    <w:multiLevelType w:val="singleLevel"/>
    <w:tmpl w:val="4C3054F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55598EA2"/>
    <w:multiLevelType w:val="singleLevel"/>
    <w:tmpl w:val="55598EA2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4"/>
  </w:num>
  <w:num w:numId="3">
    <w:abstractNumId w:val="5"/>
  </w:num>
  <w:num w:numId="4">
    <w:abstractNumId w:val="1"/>
  </w:num>
  <w:num w:numId="5">
    <w:abstractNumId w:val="2"/>
  </w:num>
  <w:num w:numId="6">
    <w:abstractNumId w:val="6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文档修订信息"/>
    <w:basedOn w:val="Normal"/>
    <w:pPr>
      <w:widowControl w:val="0"/>
      <w:ind w:firstLine="470" w:firstLineChars="200"/>
      <w:jc w:val="center"/>
    </w:pPr>
    <w:rPr>
      <w:rFonts w:ascii="Arial" w:hAnsi="Arial" w:hint="eastAsia"/>
      <w:b/>
      <w:bCs/>
      <w:sz w:val="24"/>
      <w:lang w:eastAsia="zh-CN"/>
    </w:rPr>
  </w:style>
  <w:style w:type="paragraph" w:customStyle="1" w:styleId="a0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1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2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2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2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2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3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4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2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4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1303</Words>
  <Characters>1477</Characters>
  <Application>Microsoft Office Word</Application>
  <DocSecurity>0</DocSecurity>
  <Lines>0</Lines>
  <Paragraphs>0</Paragraphs>
  <ScaleCrop>false</ScaleCrop>
  <Company/>
  <LinksUpToDate>false</LinksUpToDate>
  <CharactersWithSpaces>1554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2026-04-24T20:28:37Z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