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924"/>
      <w:r>
        <w:drawing>
          <wp:anchor distT="0" distB="0" distL="114300" distR="114300" simplePos="0" relativeHeight="251660288" behindDoc="1" locked="0" layoutInCell="1" allowOverlap="1">
            <wp:simplePos x="0" y="0"/>
            <wp:positionH relativeFrom="column">
              <wp:posOffset>-19050</wp:posOffset>
            </wp:positionH>
            <wp:positionV relativeFrom="paragraph">
              <wp:posOffset>-26035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32322"/>
      <w:r>
        <w:rPr>
          <w:rFonts w:hint="eastAsia"/>
          <w:lang w:val="en-US" w:eastAsia="zh-CN"/>
        </w:rPr>
        <w:t>2025年度人员管理计划</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TXHS</w:t>
      </w:r>
      <w:r>
        <w:rPr>
          <w:rFonts w:ascii="宋体" w:eastAsia="宋体" w:hAnsi="宋体" w:cs="宋体"/>
          <w:b/>
          <w:bCs/>
          <w:spacing w:val="-3"/>
          <w:sz w:val="24"/>
          <w:szCs w:val="24"/>
        </w:rPr>
        <w:t>-0</w:t>
      </w:r>
      <w:r>
        <w:rPr>
          <w:rFonts w:ascii="宋体" w:eastAsia="宋体" w:hAnsi="宋体" w:cs="宋体" w:hint="eastAsia"/>
          <w:b/>
          <w:bCs/>
          <w:spacing w:val="-3"/>
          <w:sz w:val="24"/>
          <w:szCs w:val="24"/>
          <w:lang w:val="en-US" w:eastAsia="zh-CN"/>
        </w:rPr>
        <w:t>5</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10</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人力资源部</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w:t>
            </w:r>
            <w:bookmarkStart w:id="2" w:name="_GoBack"/>
            <w:bookmarkEnd w:id="2"/>
            <w:r>
              <w:rPr>
                <w:rFonts w:hint="eastAsia"/>
                <w:vertAlign w:val="baseline"/>
                <w:lang w:val="en-US" w:eastAsia="zh-CN"/>
              </w:rPr>
              <w:t>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吴亚红</w:t>
            </w:r>
          </w:p>
        </w:tc>
        <w:tc>
          <w:tcPr>
            <w:tcW w:w="2708" w:type="dxa"/>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2025.1.</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平湾</w:t>
            </w:r>
          </w:p>
        </w:tc>
        <w:tc>
          <w:tcPr>
            <w:tcW w:w="1606"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陈凯</w:t>
            </w:r>
          </w:p>
        </w:tc>
        <w:tc>
          <w:tcPr>
            <w:tcW w:w="915" w:type="dxa"/>
          </w:tcPr>
          <w:p>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吴亚红</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_Toc7924 </w:instrText>
          </w:r>
          <w:r>
            <w:rPr>
              <w:rFonts w:ascii="宋体" w:eastAsia="宋体" w:hAnsi="宋体" w:cs="宋体" w:hint="eastAsia"/>
              <w:szCs w:val="24"/>
            </w:rPr>
            <w:fldChar w:fldCharType="separate"/>
          </w:r>
          <w:r>
            <w:rPr>
              <w:rFonts w:hint="eastAsia"/>
              <w:lang w:val="en-US" w:eastAsia="zh-CN"/>
            </w:rPr>
            <w:t>桐乡华数广电网络有限公司</w:t>
          </w:r>
          <w:r>
            <w:tab/>
          </w:r>
          <w:r>
            <w:fldChar w:fldCharType="begin"/>
          </w:r>
          <w:r>
            <w:instrText xml:space="preserve"> PAGEREF _Toc7924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_Toc32322 </w:instrText>
          </w:r>
          <w:r>
            <w:rPr>
              <w:rFonts w:ascii="宋体" w:eastAsia="宋体" w:hAnsi="宋体" w:cs="宋体" w:hint="eastAsia"/>
              <w:szCs w:val="24"/>
            </w:rPr>
            <w:fldChar w:fldCharType="separate"/>
          </w:r>
          <w:r>
            <w:rPr>
              <w:rFonts w:hint="eastAsia"/>
              <w:lang w:val="en-US" w:eastAsia="zh-CN"/>
            </w:rPr>
            <w:t>2025年度人员管理计划</w:t>
          </w:r>
          <w:r>
            <w:tab/>
          </w:r>
          <w:r>
            <w:fldChar w:fldCharType="begin"/>
          </w:r>
          <w:r>
            <w:instrText xml:space="preserve"> PAGEREF _Toc32322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_Toc8068 </w:instrText>
          </w:r>
          <w:r>
            <w:rPr>
              <w:rFonts w:ascii="宋体" w:eastAsia="宋体" w:hAnsi="宋体" w:cs="宋体" w:hint="eastAsia"/>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_Toc8068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_Toc13808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管理目的</w:t>
          </w:r>
          <w:r>
            <w:tab/>
          </w:r>
          <w:r>
            <w:fldChar w:fldCharType="begin"/>
          </w:r>
          <w:r>
            <w:instrText xml:space="preserve"> PAGEREF _Toc13808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_Toc7429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_Toc7429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_Toc24036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基本原则</w:t>
          </w:r>
          <w:r>
            <w:tab/>
          </w:r>
          <w:r>
            <w:fldChar w:fldCharType="begin"/>
          </w:r>
          <w:r>
            <w:instrText xml:space="preserve"> PAGEREF _Toc24036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_Toc6495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管理职责</w:t>
          </w:r>
          <w:r>
            <w:tab/>
          </w:r>
          <w:r>
            <w:fldChar w:fldCharType="begin"/>
          </w:r>
          <w:r>
            <w:instrText xml:space="preserve"> PAGEREF _Toc6495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_Toc2902 </w:instrText>
          </w:r>
          <w:r>
            <w:rPr>
              <w:rFonts w:ascii="宋体" w:eastAsia="宋体" w:hAnsi="宋体" w:cs="宋体" w:hint="eastAsia"/>
              <w:szCs w:val="24"/>
            </w:rPr>
            <w:fldChar w:fldCharType="separate"/>
          </w:r>
          <w:r>
            <w:rPr>
              <w:rFonts w:hint="default"/>
              <w:lang w:val="en-US" w:eastAsia="zh-CN"/>
            </w:rPr>
            <w:t>1.4.1. 人力资源部</w:t>
          </w:r>
          <w:r>
            <w:tab/>
          </w:r>
          <w:r>
            <w:fldChar w:fldCharType="begin"/>
          </w:r>
          <w:r>
            <w:instrText xml:space="preserve"> PAGEREF _Toc2902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_Toc11305 </w:instrText>
          </w:r>
          <w:r>
            <w:rPr>
              <w:rFonts w:ascii="宋体" w:eastAsia="宋体" w:hAnsi="宋体" w:cs="宋体" w:hint="eastAsia"/>
              <w:szCs w:val="24"/>
            </w:rPr>
            <w:fldChar w:fldCharType="separate"/>
          </w:r>
          <w:r>
            <w:rPr>
              <w:rFonts w:hint="default"/>
              <w:lang w:val="en-US" w:eastAsia="zh-CN"/>
            </w:rPr>
            <w:t xml:space="preserve">1.4.2. </w:t>
          </w:r>
          <w:r>
            <w:rPr>
              <w:rFonts w:hint="eastAsia"/>
              <w:lang w:val="en-US" w:eastAsia="zh-CN"/>
            </w:rPr>
            <w:t>其他运维部门</w:t>
          </w:r>
          <w:r>
            <w:tab/>
          </w:r>
          <w:r>
            <w:fldChar w:fldCharType="begin"/>
          </w:r>
          <w:r>
            <w:instrText xml:space="preserve"> PAGEREF _Toc11305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_Toc31162 </w:instrText>
          </w:r>
          <w:r>
            <w:rPr>
              <w:rFonts w:ascii="宋体" w:eastAsia="宋体" w:hAnsi="宋体" w:cs="宋体" w:hint="eastAsia"/>
              <w:szCs w:val="24"/>
            </w:rPr>
            <w:fldChar w:fldCharType="separate"/>
          </w:r>
          <w:r>
            <w:rPr>
              <w:rFonts w:hint="default"/>
              <w:lang w:val="en-US" w:eastAsia="zh-CN"/>
            </w:rPr>
            <w:t xml:space="preserve">1.4.3. </w:t>
          </w:r>
          <w:r>
            <w:rPr>
              <w:rFonts w:hint="eastAsia"/>
              <w:lang w:val="en-US" w:eastAsia="zh-CN"/>
            </w:rPr>
            <w:t>管理者代表</w:t>
          </w:r>
          <w:r>
            <w:tab/>
          </w:r>
          <w:r>
            <w:fldChar w:fldCharType="begin"/>
          </w:r>
          <w:r>
            <w:instrText xml:space="preserve"> PAGEREF _Toc31162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_Toc1112 </w:instrText>
          </w:r>
          <w:r>
            <w:rPr>
              <w:rFonts w:ascii="宋体" w:eastAsia="宋体" w:hAnsi="宋体" w:cs="宋体" w:hint="eastAsia"/>
              <w:szCs w:val="24"/>
            </w:rPr>
            <w:fldChar w:fldCharType="separate"/>
          </w:r>
          <w:r>
            <w:rPr>
              <w:rFonts w:hint="default"/>
              <w:lang w:val="en-US" w:eastAsia="zh-CN"/>
            </w:rPr>
            <w:t>1.4.4. 员工个人</w:t>
          </w:r>
          <w:r>
            <w:tab/>
          </w:r>
          <w:r>
            <w:fldChar w:fldCharType="begin"/>
          </w:r>
          <w:r>
            <w:instrText xml:space="preserve"> PAGEREF _Toc1112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_Toc16443 </w:instrText>
          </w:r>
          <w:r>
            <w:rPr>
              <w:rFonts w:ascii="宋体" w:eastAsia="宋体" w:hAnsi="宋体" w:cs="宋体" w:hint="eastAsia"/>
              <w:szCs w:val="24"/>
            </w:rPr>
            <w:fldChar w:fldCharType="separate"/>
          </w:r>
          <w:r>
            <w:rPr>
              <w:rFonts w:hint="default"/>
              <w:lang w:val="en-US" w:eastAsia="zh-CN"/>
            </w:rPr>
            <w:t>2. 人员储备</w:t>
          </w:r>
          <w:r>
            <w:rPr>
              <w:rFonts w:hint="eastAsia"/>
              <w:lang w:val="en-US" w:eastAsia="zh-CN"/>
            </w:rPr>
            <w:t>计划</w:t>
          </w:r>
          <w:r>
            <w:tab/>
          </w:r>
          <w:r>
            <w:fldChar w:fldCharType="begin"/>
          </w:r>
          <w:r>
            <w:instrText xml:space="preserve"> PAGEREF _Toc16443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_Toc6225 </w:instrText>
          </w:r>
          <w:r>
            <w:rPr>
              <w:rFonts w:ascii="宋体" w:eastAsia="宋体" w:hAnsi="宋体" w:cs="宋体" w:hint="eastAsia"/>
              <w:szCs w:val="24"/>
            </w:rPr>
            <w:fldChar w:fldCharType="separate"/>
          </w:r>
          <w:r>
            <w:rPr>
              <w:rFonts w:hint="default"/>
              <w:lang w:val="en-US" w:eastAsia="zh-CN"/>
            </w:rPr>
            <w:t>2.1. 储备岗位识别</w:t>
          </w:r>
          <w:r>
            <w:tab/>
          </w:r>
          <w:r>
            <w:fldChar w:fldCharType="begin"/>
          </w:r>
          <w:r>
            <w:instrText xml:space="preserve"> PAGEREF _Toc6225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_Toc20481 </w:instrText>
          </w:r>
          <w:r>
            <w:rPr>
              <w:rFonts w:ascii="宋体" w:eastAsia="宋体" w:hAnsi="宋体" w:cs="宋体" w:hint="eastAsia"/>
              <w:szCs w:val="24"/>
            </w:rPr>
            <w:fldChar w:fldCharType="separate"/>
          </w:r>
          <w:r>
            <w:rPr>
              <w:rFonts w:hint="default"/>
              <w:lang w:val="en-US" w:eastAsia="zh-CN"/>
            </w:rPr>
            <w:t>2.2. 储备人员选拔标准</w:t>
          </w:r>
          <w:r>
            <w:tab/>
          </w:r>
          <w:r>
            <w:fldChar w:fldCharType="begin"/>
          </w:r>
          <w:r>
            <w:instrText xml:space="preserve"> PAGEREF _Toc20481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_Toc32648 </w:instrText>
          </w:r>
          <w:r>
            <w:rPr>
              <w:rFonts w:ascii="宋体" w:eastAsia="宋体" w:hAnsi="宋体" w:cs="宋体" w:hint="eastAsia"/>
              <w:szCs w:val="24"/>
            </w:rPr>
            <w:fldChar w:fldCharType="separate"/>
          </w:r>
          <w:r>
            <w:rPr>
              <w:rFonts w:hint="default"/>
              <w:lang w:val="en-US" w:eastAsia="zh-CN"/>
            </w:rPr>
            <w:t>2.3. 储备计划制定</w:t>
          </w:r>
          <w:r>
            <w:tab/>
          </w:r>
          <w:r>
            <w:fldChar w:fldCharType="begin"/>
          </w:r>
          <w:r>
            <w:instrText xml:space="preserve"> PAGEREF _Toc32648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_Toc27100 </w:instrText>
          </w:r>
          <w:r>
            <w:rPr>
              <w:rFonts w:ascii="宋体" w:eastAsia="宋体" w:hAnsi="宋体" w:cs="宋体" w:hint="eastAsia"/>
              <w:szCs w:val="24"/>
            </w:rPr>
            <w:fldChar w:fldCharType="separate"/>
          </w:r>
          <w:r>
            <w:rPr>
              <w:rFonts w:hint="default"/>
              <w:lang w:val="en-US" w:eastAsia="zh-CN"/>
            </w:rPr>
            <w:t xml:space="preserve">3. </w:t>
          </w:r>
          <w:r>
            <w:rPr>
              <w:rFonts w:hint="eastAsia"/>
              <w:lang w:val="en-US" w:eastAsia="zh-CN"/>
            </w:rPr>
            <w:t>人员招聘计划</w:t>
          </w:r>
          <w:r>
            <w:tab/>
          </w:r>
          <w:r>
            <w:fldChar w:fldCharType="begin"/>
          </w:r>
          <w:r>
            <w:instrText xml:space="preserve"> PAGEREF _Toc27100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_Toc2580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人员备份计划</w:t>
          </w:r>
          <w:r>
            <w:tab/>
          </w:r>
          <w:r>
            <w:fldChar w:fldCharType="begin"/>
          </w:r>
          <w:r>
            <w:instrText xml:space="preserve"> PAGEREF _Toc2580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_Toc28164 </w:instrText>
          </w:r>
          <w:r>
            <w:rPr>
              <w:rFonts w:ascii="宋体" w:eastAsia="宋体" w:hAnsi="宋体" w:cs="宋体" w:hint="eastAsia"/>
              <w:szCs w:val="24"/>
            </w:rPr>
            <w:fldChar w:fldCharType="separate"/>
          </w:r>
          <w:r>
            <w:rPr>
              <w:rFonts w:hint="default"/>
              <w:lang w:val="en-US" w:eastAsia="zh-CN"/>
            </w:rPr>
            <w:t>5. 人员培训</w:t>
          </w:r>
          <w:r>
            <w:rPr>
              <w:rFonts w:hint="eastAsia"/>
              <w:lang w:val="en-US" w:eastAsia="zh-CN"/>
            </w:rPr>
            <w:t>计划</w:t>
          </w:r>
          <w:r>
            <w:tab/>
          </w:r>
          <w:r>
            <w:fldChar w:fldCharType="begin"/>
          </w:r>
          <w:r>
            <w:instrText xml:space="preserve"> PAGEREF _Toc28164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_Toc3548 </w:instrText>
          </w:r>
          <w:r>
            <w:rPr>
              <w:rFonts w:ascii="宋体" w:eastAsia="宋体" w:hAnsi="宋体" w:cs="宋体" w:hint="eastAsia"/>
              <w:szCs w:val="24"/>
            </w:rPr>
            <w:fldChar w:fldCharType="separate"/>
          </w:r>
          <w:r>
            <w:rPr>
              <w:rFonts w:hint="default"/>
              <w:lang w:val="en-US" w:eastAsia="zh-CN"/>
            </w:rPr>
            <w:t>5.1. 培训计划制定与审批</w:t>
          </w:r>
          <w:r>
            <w:tab/>
          </w:r>
          <w:r>
            <w:fldChar w:fldCharType="begin"/>
          </w:r>
          <w:r>
            <w:instrText xml:space="preserve"> PAGEREF _Toc3548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_Toc16138 </w:instrText>
          </w:r>
          <w:r>
            <w:rPr>
              <w:rFonts w:ascii="宋体" w:eastAsia="宋体" w:hAnsi="宋体" w:cs="宋体" w:hint="eastAsia"/>
              <w:szCs w:val="24"/>
            </w:rPr>
            <w:fldChar w:fldCharType="separate"/>
          </w:r>
          <w:r>
            <w:rPr>
              <w:rFonts w:hint="default"/>
              <w:lang w:val="en-US" w:eastAsia="zh-CN"/>
            </w:rPr>
            <w:t>5.2. 培训组织实施</w:t>
          </w:r>
          <w:r>
            <w:tab/>
          </w:r>
          <w:r>
            <w:fldChar w:fldCharType="begin"/>
          </w:r>
          <w:r>
            <w:instrText xml:space="preserve"> PAGEREF _Toc16138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_Toc24145 </w:instrText>
          </w:r>
          <w:r>
            <w:rPr>
              <w:rFonts w:ascii="宋体" w:eastAsia="宋体" w:hAnsi="宋体" w:cs="宋体" w:hint="eastAsia"/>
              <w:szCs w:val="24"/>
            </w:rPr>
            <w:fldChar w:fldCharType="separate"/>
          </w:r>
          <w:r>
            <w:rPr>
              <w:rFonts w:hint="default"/>
              <w:lang w:val="en-US" w:eastAsia="zh-CN"/>
            </w:rPr>
            <w:t>6. 人员绩效考核</w:t>
          </w:r>
          <w:r>
            <w:rPr>
              <w:rFonts w:hint="eastAsia"/>
              <w:lang w:val="en-US" w:eastAsia="zh-CN"/>
            </w:rPr>
            <w:t>计划</w:t>
          </w:r>
          <w:r>
            <w:tab/>
          </w:r>
          <w:r>
            <w:fldChar w:fldCharType="begin"/>
          </w:r>
          <w:r>
            <w:instrText xml:space="preserve"> PAGEREF _Toc24145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_Toc31029 </w:instrText>
          </w:r>
          <w:r>
            <w:rPr>
              <w:rFonts w:ascii="宋体" w:eastAsia="宋体" w:hAnsi="宋体" w:cs="宋体" w:hint="eastAsia"/>
              <w:szCs w:val="24"/>
            </w:rPr>
            <w:fldChar w:fldCharType="separate"/>
          </w:r>
          <w:r>
            <w:rPr>
              <w:rFonts w:hint="default"/>
              <w:lang w:val="en-US" w:eastAsia="zh-CN"/>
            </w:rPr>
            <w:t>6.1. 考核周期设定</w:t>
          </w:r>
          <w:r>
            <w:tab/>
          </w:r>
          <w:r>
            <w:fldChar w:fldCharType="begin"/>
          </w:r>
          <w:r>
            <w:instrText xml:space="preserve"> PAGEREF _Toc31029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_Toc19152 </w:instrText>
          </w:r>
          <w:r>
            <w:rPr>
              <w:rFonts w:ascii="宋体" w:eastAsia="宋体" w:hAnsi="宋体" w:cs="宋体" w:hint="eastAsia"/>
              <w:szCs w:val="24"/>
            </w:rPr>
            <w:fldChar w:fldCharType="separate"/>
          </w:r>
          <w:r>
            <w:rPr>
              <w:rFonts w:hint="default"/>
              <w:lang w:val="en-US" w:eastAsia="zh-CN"/>
            </w:rPr>
            <w:t xml:space="preserve">6.2. </w:t>
          </w:r>
          <w:r>
            <w:rPr>
              <w:rFonts w:hint="eastAsia"/>
              <w:lang w:val="en-US" w:eastAsia="zh-CN"/>
            </w:rPr>
            <w:t>考核指标要求</w:t>
          </w:r>
          <w:r>
            <w:tab/>
          </w:r>
          <w:r>
            <w:fldChar w:fldCharType="begin"/>
          </w:r>
          <w:r>
            <w:instrText xml:space="preserve"> PAGEREF _Toc19152 \h </w:instrText>
          </w:r>
          <w:r>
            <w:fldChar w:fldCharType="separate"/>
          </w:r>
          <w:r>
            <w:t>9</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_Toc2524 </w:instrText>
          </w:r>
          <w:r>
            <w:rPr>
              <w:rFonts w:ascii="宋体" w:eastAsia="宋体" w:hAnsi="宋体" w:cs="宋体" w:hint="eastAsia"/>
              <w:szCs w:val="24"/>
            </w:rPr>
            <w:fldChar w:fldCharType="separate"/>
          </w:r>
          <w:r>
            <w:rPr>
              <w:rFonts w:hint="default"/>
              <w:lang w:val="en-US" w:eastAsia="zh-CN"/>
            </w:rPr>
            <w:t>7. 人员技能评定</w:t>
          </w:r>
          <w:r>
            <w:rPr>
              <w:rFonts w:hint="eastAsia"/>
              <w:lang w:val="en-US" w:eastAsia="zh-CN"/>
            </w:rPr>
            <w:t>计划</w:t>
          </w:r>
          <w:r>
            <w:tab/>
          </w:r>
          <w:r>
            <w:fldChar w:fldCharType="begin"/>
          </w:r>
          <w:r>
            <w:instrText xml:space="preserve"> PAGEREF _Toc2524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_Toc8470 </w:instrText>
          </w:r>
          <w:r>
            <w:rPr>
              <w:rFonts w:ascii="宋体" w:eastAsia="宋体" w:hAnsi="宋体" w:cs="宋体" w:hint="eastAsia"/>
              <w:szCs w:val="24"/>
            </w:rPr>
            <w:fldChar w:fldCharType="separate"/>
          </w:r>
          <w:r>
            <w:rPr>
              <w:rFonts w:hint="default"/>
              <w:lang w:val="en-US" w:eastAsia="zh-CN"/>
            </w:rPr>
            <w:t>7.1. 评定流程</w:t>
          </w:r>
          <w:r>
            <w:tab/>
          </w:r>
          <w:r>
            <w:fldChar w:fldCharType="begin"/>
          </w:r>
          <w:r>
            <w:instrText xml:space="preserve"> PAGEREF _Toc8470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_Toc20092 </w:instrText>
          </w:r>
          <w:r>
            <w:rPr>
              <w:rFonts w:ascii="宋体" w:eastAsia="宋体" w:hAnsi="宋体" w:cs="宋体" w:hint="eastAsia"/>
              <w:szCs w:val="24"/>
            </w:rPr>
            <w:fldChar w:fldCharType="separate"/>
          </w:r>
          <w:r>
            <w:rPr>
              <w:rFonts w:hint="default"/>
              <w:lang w:val="en-US" w:eastAsia="zh-CN"/>
            </w:rPr>
            <w:t>7.2. 技能模型与等级标准</w:t>
          </w:r>
          <w:r>
            <w:tab/>
          </w:r>
          <w:r>
            <w:fldChar w:fldCharType="begin"/>
          </w:r>
          <w:r>
            <w:instrText xml:space="preserve"> PAGEREF _Toc20092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_Toc23673 </w:instrText>
          </w:r>
          <w:r>
            <w:rPr>
              <w:rFonts w:ascii="宋体" w:eastAsia="宋体" w:hAnsi="宋体" w:cs="宋体" w:hint="eastAsia"/>
              <w:szCs w:val="24"/>
            </w:rPr>
            <w:fldChar w:fldCharType="separate"/>
          </w:r>
          <w:r>
            <w:rPr>
              <w:rFonts w:hint="default"/>
              <w:lang w:val="en-US" w:eastAsia="zh-CN"/>
            </w:rPr>
            <w:t>7.3. 评定</w:t>
          </w:r>
          <w:r>
            <w:rPr>
              <w:rFonts w:hint="eastAsia"/>
              <w:lang w:val="en-US" w:eastAsia="zh-CN"/>
            </w:rPr>
            <w:t>实施</w:t>
          </w:r>
          <w:r>
            <w:tab/>
          </w:r>
          <w:r>
            <w:fldChar w:fldCharType="begin"/>
          </w:r>
          <w:r>
            <w:instrText xml:space="preserve"> PAGEREF _Toc23673 \h </w:instrText>
          </w:r>
          <w:r>
            <w:fldChar w:fldCharType="separate"/>
          </w:r>
          <w:r>
            <w:t>10</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8068"/>
      <w:r>
        <w:rPr>
          <w:rFonts w:hint="eastAsia"/>
          <w:lang w:val="en-US" w:eastAsia="zh-CN"/>
        </w:rPr>
        <w:t>总则</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13808"/>
      <w:r>
        <w:rPr>
          <w:rFonts w:hint="eastAsia"/>
          <w:lang w:val="en-US" w:eastAsia="zh-CN"/>
        </w:rPr>
        <w:t>管理目的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为建立科学、规范、系统的人员管理体系，优化公司人力资源配置，提升员工专业技能与综合素质，保障公司各项业务，特别是软件运维服务及相关研发、质量、应急业务的稳定与持续发展，特制定本制度。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本制度旨在通过有效的人员招聘、储备、培训、备份、绩效与技能管理，打造一支结构合理、技能精湛、敬业高效的人才队伍，支撑公司战略目标的实现。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7429"/>
      <w:r>
        <w:rPr>
          <w:rFonts w:hint="eastAsia"/>
          <w:lang w:val="en-US" w:eastAsia="zh-CN"/>
        </w:rPr>
        <w:t>适用范围</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桐乡华数广电网络有限公司全体员工，包括与公司建立劳动关系的所有正式员工、试用期员工及公司认定的其他相关人员。本制度所涵盖的管理活动，包括但不限于人员的招聘、内部储备、培训发展、岗位备份（AB角）、绩效考核及技能评定等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4036"/>
      <w:r>
        <w:rPr>
          <w:rFonts w:hint="eastAsia"/>
          <w:lang w:val="en-US" w:eastAsia="zh-CN"/>
        </w:rPr>
        <w:t>基本原则</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战略导向原则：所有人员管理活动须紧密围绕公司经营战略与业务发展需要，服务于公司核心竞争力提升。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合规性与公平性原则：严格遵守国家及地方相关法律法规，确保管理过程公开、公平、公正，保障员工合法权益。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德才兼备与以德为先原则：在重视员工专业能力与业绩的同时，将职业道德、团队协作与企业文化认同作为重要的评价与选拔标准。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培养与发展并重原则：强调通过系统性培训与职业发展规划，促进员工能力持续提升，实现员工个人成长与公司发展的统一。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动态管理与持续改进原则：人员管理策略与措施应根据公司内外部环境变化及执行反馈进行定期评估与优化。</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6495"/>
      <w:r>
        <w:rPr>
          <w:rFonts w:hint="eastAsia"/>
          <w:lang w:val="en-US" w:eastAsia="zh-CN"/>
        </w:rPr>
        <w:t>管理职责</w:t>
      </w:r>
      <w:bookmarkEnd w:id="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902"/>
      <w:r>
        <w:rPr>
          <w:rFonts w:hint="default"/>
          <w:lang w:val="en-US" w:eastAsia="zh-CN"/>
        </w:rPr>
        <w:t>人力资源部</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作为人员管理的归口部门，负责本制度的制定、修订、解释与推动实施。具体职责包括：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统筹全公司招聘计划与活动；</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建立人才储备与培训体系；</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组织协调绩效考核与技能评定工作；</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监督人员备份机制运行；</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管理相关人事档案与数据。</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1305"/>
      <w:r>
        <w:rPr>
          <w:rFonts w:hint="eastAsia"/>
          <w:lang w:val="en-US" w:eastAsia="zh-CN"/>
        </w:rPr>
        <w:t>其他运维部门</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作为人员管理的需求部门与执行主体，</w:t>
      </w:r>
      <w:r>
        <w:rPr>
          <w:rFonts w:hint="eastAsia"/>
          <w:lang w:val="en-US" w:eastAsia="zh-CN"/>
        </w:rPr>
        <w:t>具体职责包括</w:t>
      </w:r>
      <w:r>
        <w:rPr>
          <w:rFonts w:hint="default"/>
          <w:lang w:val="en-US" w:eastAsia="zh-CN"/>
        </w:rPr>
        <w:t>：</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负责根据业务发展提出具体的人员需求（招聘、储备、培训</w:t>
      </w:r>
      <w:r>
        <w:rPr>
          <w:rFonts w:hint="eastAsia"/>
          <w:lang w:val="en-US" w:eastAsia="zh-CN"/>
        </w:rPr>
        <w:t>、备份、绩效考核</w:t>
      </w:r>
      <w:r>
        <w:rPr>
          <w:rFonts w:hint="default"/>
          <w:lang w:val="en-US" w:eastAsia="zh-CN"/>
        </w:rPr>
        <w:t>等）；</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参与候选人的面试与评估；</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组织实施部门内部培训、岗位技能传授与备份人员培养；</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负责本部门员工的日常绩效管理与反馈；配合完成公司组织的各项人员管理活动。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1162"/>
      <w:r>
        <w:rPr>
          <w:rFonts w:hint="eastAsia"/>
          <w:lang w:val="en-US" w:eastAsia="zh-CN"/>
        </w:rPr>
        <w:t>管理者代表</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负责审批公司整体人员规划、年度招聘与培训预算、关键岗位的任命以及重大的人力资源政策。为人员管理体系的建设与运行提供资源支持与方向指导。</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112"/>
      <w:r>
        <w:rPr>
          <w:rFonts w:hint="default"/>
          <w:lang w:val="en-US" w:eastAsia="zh-CN"/>
        </w:rPr>
        <w:t>员工个人</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为积极完成人员管理管理，员工个人应积极完成以下工作：</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应积极参与公司组织的各项培训与发展活动，主动提升自身技能与绩效；</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遵循岗位备份安排，确保知识共享与业务连续性；</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如实参与绩效考核与技能评定，并基于反馈进行改进。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8755"/>
      <w:bookmarkStart w:id="13" w:name="_Toc16443"/>
      <w:r>
        <w:rPr>
          <w:rFonts w:hint="default"/>
          <w:lang w:val="en-US" w:eastAsia="zh-CN"/>
        </w:rPr>
        <w:t>人员储备</w:t>
      </w:r>
      <w:r>
        <w:rPr>
          <w:rFonts w:hint="eastAsia"/>
          <w:lang w:val="en-US" w:eastAsia="zh-CN"/>
        </w:rPr>
        <w:t>计划</w:t>
      </w:r>
      <w:bookmarkEnd w:id="12"/>
      <w:bookmarkEnd w:id="1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6225"/>
      <w:bookmarkStart w:id="15" w:name="_Toc15545"/>
      <w:r>
        <w:rPr>
          <w:rFonts w:hint="default"/>
          <w:lang w:val="en-US" w:eastAsia="zh-CN"/>
        </w:rPr>
        <w:t>储备岗位识别</w:t>
      </w:r>
      <w:bookmarkEnd w:id="14"/>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储备岗位的识别主要依据以下三个维度：</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业务影响度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该岗位履职情况对公司核心运维、研发、质量或应急业务目标的达成具有直接、重大影响。</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人才稀缺性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该岗位所需技能在人才市场供给有限，或内部培养周期较长（通常超过6个月）。</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岗位稳定性风险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基于历史数据，该岗位属于人员流动相对频繁的关键岗位。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评审确定：人力资源部汇总清单，组织公司管理层进行评审，综合考虑公司战略、业务重点及资源投入，最终确定公司年度《关键岗位储备名录》及储备目标。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0481"/>
      <w:bookmarkStart w:id="17" w:name="_Toc18664"/>
      <w:r>
        <w:rPr>
          <w:rFonts w:hint="default"/>
          <w:lang w:val="en-US" w:eastAsia="zh-CN"/>
        </w:rPr>
        <w:t>储备人员选拔标准</w:t>
      </w:r>
      <w:bookmarkEnd w:id="16"/>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储备人员的选拔遵循“德才兼备、潜力优先”的原则，具体标准如下：</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基本资格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符合目标储备岗位说明书中列明的学历、专业、经验等基本任职要求。</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绩效表现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在过去一年的绩效考核中，结果达到“称职”或以上等级，且无重大工作失误。</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能力与潜质</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学习能力：具备快速学习新知识、掌握新技能的意愿和能力。</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解决问题能力：在工作中展现出独立分析问题和提出有效解决方案的能力。</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845" w:hanging="425" w:leftChars="0" w:firstLineChars="0"/>
        <w:textAlignment w:val="baseline"/>
        <w:rPr>
          <w:rFonts w:hint="default"/>
          <w:lang w:val="en-US" w:eastAsia="zh-CN"/>
        </w:rPr>
      </w:pPr>
      <w:r>
        <w:rPr>
          <w:rFonts w:hint="default"/>
          <w:lang w:val="en-US" w:eastAsia="zh-CN"/>
        </w:rPr>
        <w:t>协作与沟通：具有良好的团队协作精神和一定的沟通影响力。</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文化认同与发展意愿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高度认同公司价值观，职业发展规划与公司方向一致，并表现出承担更大责任的强烈意愿。</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2648"/>
      <w:bookmarkStart w:id="19" w:name="_Toc29849"/>
      <w:r>
        <w:rPr>
          <w:rFonts w:hint="default"/>
          <w:lang w:val="en-US" w:eastAsia="zh-CN"/>
        </w:rPr>
        <w:t>储备计划制定</w:t>
      </w:r>
      <w:bookmarkEnd w:id="18"/>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结合</w:t>
      </w:r>
      <w:r>
        <w:rPr>
          <w:rFonts w:hint="default"/>
          <w:lang w:val="en-US" w:eastAsia="zh-CN"/>
        </w:rPr>
        <w:t>业务影响度</w:t>
      </w:r>
      <w:r>
        <w:rPr>
          <w:rFonts w:hint="eastAsia"/>
          <w:lang w:val="en-US" w:eastAsia="zh-CN"/>
        </w:rPr>
        <w:t>、</w:t>
      </w:r>
      <w:r>
        <w:rPr>
          <w:rFonts w:hint="default"/>
          <w:lang w:val="en-US" w:eastAsia="zh-CN"/>
        </w:rPr>
        <w:t>人才稀缺性</w:t>
      </w:r>
      <w:r>
        <w:rPr>
          <w:rFonts w:hint="eastAsia"/>
          <w:lang w:val="en-US" w:eastAsia="zh-CN"/>
        </w:rPr>
        <w:t>和</w:t>
      </w:r>
      <w:r>
        <w:rPr>
          <w:rFonts w:hint="default"/>
          <w:lang w:val="en-US" w:eastAsia="zh-CN"/>
        </w:rPr>
        <w:t>岗位稳定性风险</w:t>
      </w:r>
      <w:r>
        <w:rPr>
          <w:rFonts w:hint="eastAsia"/>
          <w:lang w:val="en-US" w:eastAsia="zh-CN"/>
        </w:rPr>
        <w:t>三项识别原则，识别出关键岗位为运维部经理、研发部经理、质量管理部经理。根据以上三个关键岗位，结合储备人员选拔标准，决定进行内部储备，制定如下的储备计划：</w:t>
      </w:r>
    </w:p>
    <w:tbl>
      <w:tblPr>
        <w:tblStyle w:val="TableGrid"/>
        <w:tblW w:w="8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030"/>
        <w:gridCol w:w="2957"/>
        <w:gridCol w:w="1511"/>
        <w:gridCol w:w="1511"/>
        <w:gridCol w:w="1511"/>
      </w:tblGrid>
      <w:tr>
        <w:tblPrEx>
          <w:tblW w:w="8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624"/>
          <w:tblHeader/>
          <w:jc w:val="center"/>
        </w:trPr>
        <w:tc>
          <w:tcPr>
            <w:tcW w:w="1030"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序号</w:t>
            </w:r>
          </w:p>
        </w:tc>
        <w:tc>
          <w:tcPr>
            <w:tcW w:w="2957"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岗位名称</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储备人数</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储备来源</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计划完成时间</w:t>
            </w:r>
          </w:p>
        </w:tc>
      </w:tr>
      <w:tr>
        <w:tblPrEx>
          <w:tblW w:w="8520" w:type="dxa"/>
          <w:jc w:val="center"/>
          <w:tblCellMar>
            <w:top w:w="0" w:type="dxa"/>
            <w:left w:w="108" w:type="dxa"/>
            <w:bottom w:w="0" w:type="dxa"/>
            <w:right w:w="108" w:type="dxa"/>
          </w:tblCellMar>
        </w:tblPrEx>
        <w:trPr>
          <w:trHeight w:val="0"/>
          <w:jc w:val="center"/>
        </w:trPr>
        <w:tc>
          <w:tcPr>
            <w:tcW w:w="1030" w:type="dxa"/>
            <w:vAlign w:val="center"/>
          </w:tcPr>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hint="default"/>
                <w:vertAlign w:val="baseline"/>
                <w:lang w:val="en-US" w:eastAsia="zh-CN"/>
              </w:rPr>
            </w:pPr>
          </w:p>
        </w:tc>
        <w:tc>
          <w:tcPr>
            <w:tcW w:w="2957"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运维部经理</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2人</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2025年3月</w:t>
            </w:r>
          </w:p>
        </w:tc>
      </w:tr>
      <w:tr>
        <w:tblPrEx>
          <w:tblW w:w="8520" w:type="dxa"/>
          <w:jc w:val="center"/>
          <w:tblCellMar>
            <w:top w:w="0" w:type="dxa"/>
            <w:left w:w="108" w:type="dxa"/>
            <w:bottom w:w="0" w:type="dxa"/>
            <w:right w:w="108" w:type="dxa"/>
          </w:tblCellMar>
        </w:tblPrEx>
        <w:trPr>
          <w:trHeight w:val="0"/>
          <w:jc w:val="center"/>
        </w:trPr>
        <w:tc>
          <w:tcPr>
            <w:tcW w:w="1030" w:type="dxa"/>
            <w:vAlign w:val="center"/>
          </w:tcPr>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hint="default"/>
                <w:vertAlign w:val="baseline"/>
                <w:lang w:val="en-US" w:eastAsia="zh-CN"/>
              </w:rPr>
            </w:pPr>
          </w:p>
        </w:tc>
        <w:tc>
          <w:tcPr>
            <w:tcW w:w="2957"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研发部经理</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1人</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2025年4月</w:t>
            </w:r>
          </w:p>
        </w:tc>
      </w:tr>
      <w:tr>
        <w:tblPrEx>
          <w:tblW w:w="8520" w:type="dxa"/>
          <w:jc w:val="center"/>
          <w:tblCellMar>
            <w:top w:w="0" w:type="dxa"/>
            <w:left w:w="108" w:type="dxa"/>
            <w:bottom w:w="0" w:type="dxa"/>
            <w:right w:w="108" w:type="dxa"/>
          </w:tblCellMar>
        </w:tblPrEx>
        <w:trPr>
          <w:trHeight w:val="0"/>
          <w:jc w:val="center"/>
        </w:trPr>
        <w:tc>
          <w:tcPr>
            <w:tcW w:w="1030" w:type="dxa"/>
            <w:vAlign w:val="center"/>
          </w:tcPr>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hint="default"/>
                <w:vertAlign w:val="baseline"/>
                <w:lang w:val="en-US" w:eastAsia="zh-CN"/>
              </w:rPr>
            </w:pPr>
          </w:p>
        </w:tc>
        <w:tc>
          <w:tcPr>
            <w:tcW w:w="2957"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质量管理部经理</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1人</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内部储备</w:t>
            </w:r>
          </w:p>
        </w:tc>
        <w:tc>
          <w:tcPr>
            <w:tcW w:w="1511"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vertAlign w:val="baseline"/>
                <w:lang w:val="en-US" w:eastAsia="zh-CN"/>
              </w:rPr>
            </w:pPr>
            <w:r>
              <w:rPr>
                <w:rFonts w:hint="eastAsia"/>
                <w:vertAlign w:val="baseline"/>
                <w:lang w:val="en-US" w:eastAsia="zh-CN"/>
              </w:rPr>
              <w:t>2025年7月</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7100"/>
      <w:r>
        <w:rPr>
          <w:rFonts w:hint="eastAsia"/>
          <w:lang w:val="en-US" w:eastAsia="zh-CN"/>
        </w:rPr>
        <w:t>人员招聘计划</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人力资源部汇总运维部和研发部提出的用人需求汇总，在5个岗位共需要招聘11人，情况如下：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开发工程师1人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测试工程师1人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服务台专员2人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运维工程师6人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服务知识专员1人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人力资源部整合各用人部门的岗位需求，根据需求时间与人数进行细化拆解，并据此制定招聘计划如下：</w:t>
      </w:r>
    </w:p>
    <w:tbl>
      <w:tblPr>
        <w:tblStyle w:val="TableGrid"/>
        <w:tblW w:w="8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98"/>
        <w:gridCol w:w="1825"/>
        <w:gridCol w:w="2134"/>
        <w:gridCol w:w="1520"/>
        <w:gridCol w:w="2142"/>
      </w:tblGrid>
      <w:tr>
        <w:tblPrEx>
          <w:tblW w:w="8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0"/>
          <w:tblHeader/>
          <w:jc w:val="center"/>
        </w:trPr>
        <w:tc>
          <w:tcPr>
            <w:tcW w:w="898"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序号</w:t>
            </w:r>
          </w:p>
        </w:tc>
        <w:tc>
          <w:tcPr>
            <w:tcW w:w="1825"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需求部门</w:t>
            </w:r>
          </w:p>
        </w:tc>
        <w:tc>
          <w:tcPr>
            <w:tcW w:w="2134"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岗位名称</w:t>
            </w:r>
          </w:p>
        </w:tc>
        <w:tc>
          <w:tcPr>
            <w:tcW w:w="1520"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招聘人数</w:t>
            </w:r>
          </w:p>
        </w:tc>
        <w:tc>
          <w:tcPr>
            <w:tcW w:w="2142"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b/>
                <w:vertAlign w:val="baseline"/>
                <w:lang w:val="en-US" w:eastAsia="zh-CN"/>
              </w:rPr>
            </w:pPr>
            <w:r>
              <w:rPr>
                <w:rFonts w:hint="eastAsia"/>
                <w:b/>
                <w:vertAlign w:val="baseline"/>
                <w:lang w:val="en-US" w:eastAsia="zh-CN"/>
              </w:rPr>
              <w:t>计划完成时间</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default"/>
                <w:sz w:val="24"/>
                <w:vertAlign w:val="baseline"/>
                <w:lang w:val="en-US" w:eastAsia="zh-CN"/>
              </w:rPr>
            </w:pPr>
          </w:p>
        </w:tc>
        <w:tc>
          <w:tcPr>
            <w:tcW w:w="1825"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运维部</w:t>
            </w:r>
          </w:p>
        </w:tc>
        <w:tc>
          <w:tcPr>
            <w:tcW w:w="2134"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运维工程师</w:t>
            </w:r>
          </w:p>
        </w:tc>
        <w:tc>
          <w:tcPr>
            <w:tcW w:w="1520"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1人</w:t>
            </w:r>
          </w:p>
        </w:tc>
        <w:tc>
          <w:tcPr>
            <w:tcW w:w="2142"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2025年2月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default"/>
                <w:sz w:val="24"/>
                <w:vertAlign w:val="baseline"/>
                <w:lang w:val="en-US" w:eastAsia="zh-CN"/>
              </w:rPr>
            </w:pPr>
          </w:p>
        </w:tc>
        <w:tc>
          <w:tcPr>
            <w:tcW w:w="1825"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研发部</w:t>
            </w:r>
          </w:p>
        </w:tc>
        <w:tc>
          <w:tcPr>
            <w:tcW w:w="2134"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开发工程师</w:t>
            </w:r>
          </w:p>
        </w:tc>
        <w:tc>
          <w:tcPr>
            <w:tcW w:w="1520"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1人</w:t>
            </w:r>
          </w:p>
        </w:tc>
        <w:tc>
          <w:tcPr>
            <w:tcW w:w="2142"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2025年3月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p>
        </w:tc>
        <w:tc>
          <w:tcPr>
            <w:tcW w:w="1825"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default"/>
                <w:sz w:val="24"/>
                <w:vertAlign w:val="baseline"/>
                <w:lang w:val="en-US" w:eastAsia="zh-CN"/>
              </w:rPr>
            </w:pPr>
            <w:r>
              <w:rPr>
                <w:rFonts w:ascii="Arial" w:eastAsia="宋体" w:hint="default"/>
                <w:sz w:val="24"/>
                <w:vertAlign w:val="baseline"/>
                <w:lang w:val="en-US" w:eastAsia="zh-CN"/>
              </w:rPr>
              <w:t>服务台</w:t>
            </w:r>
          </w:p>
        </w:tc>
        <w:tc>
          <w:tcPr>
            <w:tcW w:w="2134"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default"/>
                <w:sz w:val="24"/>
                <w:lang w:val="en-US" w:eastAsia="zh-CN"/>
              </w:rPr>
              <w:t>服务台专员</w:t>
            </w:r>
          </w:p>
        </w:tc>
        <w:tc>
          <w:tcPr>
            <w:tcW w:w="1520"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2人</w:t>
            </w:r>
          </w:p>
        </w:tc>
        <w:tc>
          <w:tcPr>
            <w:tcW w:w="2142"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2025年4月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p>
        </w:tc>
        <w:tc>
          <w:tcPr>
            <w:tcW w:w="1825"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运维部</w:t>
            </w:r>
          </w:p>
        </w:tc>
        <w:tc>
          <w:tcPr>
            <w:tcW w:w="2134"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运维工程师</w:t>
            </w:r>
          </w:p>
        </w:tc>
        <w:tc>
          <w:tcPr>
            <w:tcW w:w="1520"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3人</w:t>
            </w:r>
          </w:p>
        </w:tc>
        <w:tc>
          <w:tcPr>
            <w:tcW w:w="2142"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2025年5月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p>
        </w:tc>
        <w:tc>
          <w:tcPr>
            <w:tcW w:w="1825"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运维部</w:t>
            </w:r>
          </w:p>
        </w:tc>
        <w:tc>
          <w:tcPr>
            <w:tcW w:w="2134"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default"/>
                <w:snapToGrid w:val="0"/>
                <w:color w:val="000000"/>
                <w:kern w:val="0"/>
                <w:sz w:val="24"/>
                <w:szCs w:val="21"/>
                <w:vertAlign w:val="baseline"/>
                <w:lang w:val="en-US" w:eastAsia="zh-CN" w:bidi="ar-SA"/>
              </w:rPr>
            </w:pPr>
            <w:r>
              <w:rPr>
                <w:rFonts w:ascii="Arial" w:eastAsia="宋体" w:hint="eastAsia"/>
                <w:sz w:val="24"/>
                <w:vertAlign w:val="baseline"/>
                <w:lang w:val="en-US" w:eastAsia="zh-CN"/>
              </w:rPr>
              <w:t>运维工程师</w:t>
            </w:r>
          </w:p>
        </w:tc>
        <w:tc>
          <w:tcPr>
            <w:tcW w:w="1520"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1人</w:t>
            </w:r>
          </w:p>
        </w:tc>
        <w:tc>
          <w:tcPr>
            <w:tcW w:w="2142" w:type="dxa"/>
            <w:vMerge w:val="restart"/>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2025年6月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p>
        </w:tc>
        <w:tc>
          <w:tcPr>
            <w:tcW w:w="1825"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研发部</w:t>
            </w:r>
          </w:p>
        </w:tc>
        <w:tc>
          <w:tcPr>
            <w:tcW w:w="2134"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测试工程师</w:t>
            </w:r>
          </w:p>
        </w:tc>
        <w:tc>
          <w:tcPr>
            <w:tcW w:w="1520"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1人</w:t>
            </w:r>
          </w:p>
        </w:tc>
        <w:tc>
          <w:tcPr>
            <w:tcW w:w="2142" w:type="dxa"/>
            <w:vMerge/>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p>
        </w:tc>
        <w:tc>
          <w:tcPr>
            <w:tcW w:w="1825"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运维部</w:t>
            </w:r>
          </w:p>
        </w:tc>
        <w:tc>
          <w:tcPr>
            <w:tcW w:w="2134"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运维工程师</w:t>
            </w:r>
          </w:p>
        </w:tc>
        <w:tc>
          <w:tcPr>
            <w:tcW w:w="1520"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vertAlign w:val="baseline"/>
                <w:lang w:val="en-US" w:eastAsia="zh-CN" w:bidi="ar-SA"/>
              </w:rPr>
            </w:pPr>
            <w:r>
              <w:rPr>
                <w:rFonts w:ascii="Arial" w:eastAsia="宋体" w:hint="eastAsia"/>
                <w:sz w:val="24"/>
                <w:vertAlign w:val="baseline"/>
                <w:lang w:val="en-US" w:eastAsia="zh-CN"/>
              </w:rPr>
              <w:t>1人</w:t>
            </w:r>
          </w:p>
        </w:tc>
        <w:tc>
          <w:tcPr>
            <w:tcW w:w="2142" w:type="dxa"/>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2025年7月</w:t>
            </w:r>
          </w:p>
        </w:tc>
      </w:tr>
      <w:tr>
        <w:tblPrEx>
          <w:tblW w:w="8519" w:type="dxa"/>
          <w:jc w:val="center"/>
          <w:tblCellMar>
            <w:top w:w="0" w:type="dxa"/>
            <w:left w:w="108" w:type="dxa"/>
            <w:bottom w:w="0" w:type="dxa"/>
            <w:right w:w="108" w:type="dxa"/>
          </w:tblCellMar>
        </w:tblPrEx>
        <w:trPr>
          <w:trHeight w:val="0"/>
          <w:jc w:val="center"/>
        </w:trPr>
        <w:tc>
          <w:tcPr>
            <w:tcW w:w="898" w:type="dxa"/>
            <w:vAlign w:val="center"/>
          </w:tcPr>
          <w:p>
            <w:pPr>
              <w:pStyle w:val="a1"/>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p>
        </w:tc>
        <w:tc>
          <w:tcPr>
            <w:tcW w:w="1825"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服务知识</w:t>
            </w:r>
          </w:p>
        </w:tc>
        <w:tc>
          <w:tcPr>
            <w:tcW w:w="2134"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vertAlign w:val="baseline"/>
                <w:lang w:val="en-US" w:eastAsia="zh-CN"/>
              </w:rPr>
            </w:pPr>
            <w:r>
              <w:rPr>
                <w:rFonts w:ascii="Arial" w:eastAsia="宋体" w:hint="eastAsia"/>
                <w:sz w:val="24"/>
                <w:vertAlign w:val="baseline"/>
                <w:lang w:val="en-US" w:eastAsia="zh-CN"/>
              </w:rPr>
              <w:t>服务知识专员</w:t>
            </w:r>
          </w:p>
        </w:tc>
        <w:tc>
          <w:tcPr>
            <w:tcW w:w="1520" w:type="dxa"/>
            <w:shd w:val="clear" w:color="auto" w:fill="auto"/>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vertAlign w:val="baseline"/>
                <w:lang w:val="en-US" w:eastAsia="zh-CN"/>
              </w:rPr>
            </w:pPr>
            <w:r>
              <w:rPr>
                <w:rFonts w:ascii="Arial" w:eastAsia="宋体" w:hint="eastAsia"/>
                <w:sz w:val="24"/>
                <w:vertAlign w:val="baseline"/>
                <w:lang w:val="en-US" w:eastAsia="zh-CN"/>
              </w:rPr>
              <w:t>1人</w:t>
            </w:r>
          </w:p>
        </w:tc>
        <w:tc>
          <w:tcPr>
            <w:tcW w:w="2142" w:type="dxa"/>
            <w:shd w:val="clear" w:color="auto" w:fill="auto"/>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lang w:val="en-US" w:eastAsia="zh-CN" w:bidi="ar-SA"/>
              </w:rPr>
            </w:pPr>
            <w:r>
              <w:rPr>
                <w:rFonts w:ascii="Arial" w:eastAsia="宋体" w:hint="eastAsia"/>
                <w:sz w:val="24"/>
                <w:lang w:val="en-US" w:eastAsia="zh-CN"/>
              </w:rPr>
              <w:t>2025年8月</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580"/>
      <w:r>
        <w:rPr>
          <w:rFonts w:hint="eastAsia"/>
          <w:lang w:val="en-US" w:eastAsia="zh-CN"/>
        </w:rPr>
        <w:t>人员备份计划</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由于运维部经理、运营项目经理、研发部经理、质量管理部经理对公司运维服务项目稳定性有重大影响，特进行备份，制定人员备份计划如下：</w:t>
      </w:r>
    </w:p>
    <w:tbl>
      <w:tblPr>
        <w:tblStyle w:val="TableNormal"/>
        <w:tblW w:w="85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569"/>
        <w:gridCol w:w="1077"/>
        <w:gridCol w:w="1287"/>
        <w:gridCol w:w="2616"/>
        <w:gridCol w:w="1307"/>
        <w:gridCol w:w="807"/>
        <w:gridCol w:w="858"/>
      </w:tblGrid>
      <w:tr>
        <w:tblPrEx>
          <w:tblW w:w="85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rHeight w:val="0"/>
          <w:tblHeader/>
          <w:jc w:val="center"/>
        </w:trPr>
        <w:tc>
          <w:tcPr>
            <w:tcW w:w="569" w:type="dxa"/>
            <w:tcBorders>
              <w:top w:val="single" w:sz="12"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107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备份岗位名称</w:t>
            </w:r>
          </w:p>
        </w:tc>
        <w:tc>
          <w:tcPr>
            <w:tcW w:w="128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所属部门</w:t>
            </w:r>
          </w:p>
        </w:tc>
        <w:tc>
          <w:tcPr>
            <w:tcW w:w="2616"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主要工作内容</w:t>
            </w:r>
          </w:p>
        </w:tc>
        <w:tc>
          <w:tcPr>
            <w:tcW w:w="130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snapToGrid w:val="0"/>
                <w:color w:val="000000"/>
                <w:spacing w:val="0"/>
                <w:kern w:val="0"/>
                <w:sz w:val="18"/>
                <w:szCs w:val="18"/>
                <w:lang w:val="en-US" w:eastAsia="zh-CN"/>
              </w:rPr>
            </w:pPr>
            <w:r>
              <w:rPr>
                <w:rFonts w:ascii="Segoe UI" w:eastAsia="Segoe UI" w:hAnsi="Segoe UI" w:cs="Segoe UI" w:hint="eastAsia"/>
                <w:b/>
                <w:i w:val="0"/>
                <w:iCs w:val="0"/>
                <w:caps w:val="0"/>
                <w:snapToGrid w:val="0"/>
                <w:color w:val="000000"/>
                <w:spacing w:val="0"/>
                <w:kern w:val="0"/>
                <w:sz w:val="18"/>
                <w:szCs w:val="18"/>
                <w:lang w:val="en-US" w:eastAsia="zh-CN"/>
              </w:rPr>
              <w:t>备份岗</w:t>
            </w:r>
          </w:p>
        </w:tc>
        <w:tc>
          <w:tcPr>
            <w:tcW w:w="807" w:type="dxa"/>
            <w:tcBorders>
              <w:top w:val="single" w:sz="12"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snapToGrid w:val="0"/>
                <w:color w:val="000000"/>
                <w:spacing w:val="0"/>
                <w:kern w:val="0"/>
                <w:sz w:val="18"/>
                <w:szCs w:val="18"/>
                <w:lang w:val="en-US" w:eastAsia="zh-CN"/>
              </w:rPr>
            </w:pPr>
            <w:r>
              <w:rPr>
                <w:rFonts w:ascii="Segoe UI" w:eastAsia="Segoe UI" w:hAnsi="Segoe UI" w:cs="Segoe UI" w:hint="eastAsia"/>
                <w:b/>
                <w:i w:val="0"/>
                <w:iCs w:val="0"/>
                <w:caps w:val="0"/>
                <w:snapToGrid w:val="0"/>
                <w:color w:val="000000"/>
                <w:spacing w:val="0"/>
                <w:kern w:val="0"/>
                <w:sz w:val="18"/>
                <w:szCs w:val="18"/>
                <w:lang w:val="en-US" w:eastAsia="zh-CN"/>
              </w:rPr>
              <w:t>备份人数</w:t>
            </w:r>
          </w:p>
        </w:tc>
        <w:tc>
          <w:tcPr>
            <w:tcW w:w="858" w:type="dxa"/>
            <w:tcBorders>
              <w:top w:val="single" w:sz="12"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b/>
                <w:i w:val="0"/>
                <w:iCs w:val="0"/>
                <w:caps w:val="0"/>
                <w:snapToGrid w:val="0"/>
                <w:color w:val="000000"/>
                <w:spacing w:val="0"/>
                <w:kern w:val="0"/>
                <w:sz w:val="18"/>
                <w:szCs w:val="18"/>
                <w:lang w:val="en-US" w:eastAsia="zh-CN"/>
              </w:rPr>
            </w:pPr>
            <w:r>
              <w:rPr>
                <w:rFonts w:ascii="Segoe UI" w:eastAsia="Segoe UI" w:hAnsi="Segoe UI" w:cs="Segoe UI" w:hint="eastAsia"/>
                <w:b/>
                <w:i w:val="0"/>
                <w:iCs w:val="0"/>
                <w:caps w:val="0"/>
                <w:snapToGrid w:val="0"/>
                <w:color w:val="000000"/>
                <w:spacing w:val="0"/>
                <w:kern w:val="0"/>
                <w:sz w:val="18"/>
                <w:szCs w:val="18"/>
                <w:lang w:val="en-US" w:eastAsia="zh-CN"/>
              </w:rPr>
              <w:t>到岗时间</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numPr>
                <w:ilvl w:val="0"/>
                <w:numId w:val="10"/>
              </w:numPr>
              <w:suppressLineNumbers w:val="0"/>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128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61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部门战略、服务交付、应急响应的总负责人。</w:t>
            </w:r>
          </w:p>
        </w:tc>
        <w:tc>
          <w:tcPr>
            <w:tcW w:w="13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副总经理</w:t>
            </w:r>
          </w:p>
        </w:tc>
        <w:tc>
          <w:tcPr>
            <w:tcW w:w="8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c>
          <w:tcPr>
            <w:tcW w:w="85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2025年2月</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numPr>
                <w:ilvl w:val="0"/>
                <w:numId w:val="10"/>
              </w:numPr>
              <w:suppressLineNumbers w:val="0"/>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28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261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单个运维项目全生命周期管理、客户关系及SLA达成的第一责任人。</w:t>
            </w:r>
          </w:p>
        </w:tc>
        <w:tc>
          <w:tcPr>
            <w:tcW w:w="13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运维部经理</w:t>
            </w:r>
          </w:p>
        </w:tc>
        <w:tc>
          <w:tcPr>
            <w:tcW w:w="8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2人</w:t>
            </w:r>
          </w:p>
        </w:tc>
        <w:tc>
          <w:tcPr>
            <w:tcW w:w="85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2025年4月</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4"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numPr>
                <w:ilvl w:val="0"/>
                <w:numId w:val="10"/>
              </w:numPr>
              <w:suppressLineNumbers w:val="0"/>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研发部经理</w:t>
            </w:r>
          </w:p>
        </w:tc>
        <w:tc>
          <w:tcPr>
            <w:tcW w:w="128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616"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研发战略、技术决策、架构治理及团队管理的负责人。</w:t>
            </w:r>
          </w:p>
        </w:tc>
        <w:tc>
          <w:tcPr>
            <w:tcW w:w="13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副总经理</w:t>
            </w:r>
          </w:p>
        </w:tc>
        <w:tc>
          <w:tcPr>
            <w:tcW w:w="807" w:type="dxa"/>
            <w:tcBorders>
              <w:top w:val="single" w:sz="4" w:space="0" w:color="auto"/>
              <w:left w:val="single" w:sz="4" w:space="0" w:color="auto"/>
              <w:bottom w:val="single" w:sz="4"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c>
          <w:tcPr>
            <w:tcW w:w="858"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2025年5月</w:t>
            </w:r>
          </w:p>
        </w:tc>
      </w:tr>
      <w:tr>
        <w:tblPrEx>
          <w:tblW w:w="8521" w:type="dxa"/>
          <w:jc w:val="center"/>
          <w:shd w:val="clear" w:color="auto" w:fill="auto"/>
          <w:tblCellMar>
            <w:top w:w="15" w:type="dxa"/>
            <w:left w:w="15" w:type="dxa"/>
            <w:bottom w:w="15" w:type="dxa"/>
            <w:right w:w="15" w:type="dxa"/>
          </w:tblCellMar>
        </w:tblPrEx>
        <w:trPr>
          <w:trHeight w:val="0"/>
          <w:jc w:val="center"/>
        </w:trPr>
        <w:tc>
          <w:tcPr>
            <w:tcW w:w="569" w:type="dxa"/>
            <w:tcBorders>
              <w:top w:val="single" w:sz="4" w:space="0" w:color="auto"/>
              <w:left w:val="single" w:sz="12" w:space="0" w:color="auto"/>
              <w:bottom w:val="single" w:sz="12" w:space="0" w:color="auto"/>
              <w:right w:val="single" w:sz="4" w:space="0" w:color="auto"/>
            </w:tcBorders>
            <w:shd w:val="clear" w:color="auto" w:fill="auto"/>
            <w:tcMar>
              <w:top w:w="120" w:type="dxa"/>
              <w:left w:w="0" w:type="dxa"/>
              <w:bottom w:w="120" w:type="dxa"/>
              <w:right w:w="192" w:type="dxa"/>
            </w:tcMar>
            <w:vAlign w:val="center"/>
          </w:tcPr>
          <w:p>
            <w:pPr>
              <w:keepNext w:val="0"/>
              <w:keepLines w:val="0"/>
              <w:pageBreakBefore w:val="0"/>
              <w:widowControl w:val="0"/>
              <w:numPr>
                <w:ilvl w:val="0"/>
                <w:numId w:val="10"/>
              </w:numPr>
              <w:suppressLineNumbers w:val="0"/>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Segoe UI" w:eastAsia="Segoe UI" w:hAnsi="Segoe UI" w:cs="Segoe UI" w:hint="default"/>
                <w:i w:val="0"/>
                <w:iCs w:val="0"/>
                <w:caps w:val="0"/>
                <w:color w:val="0F1115"/>
                <w:spacing w:val="0"/>
                <w:sz w:val="18"/>
                <w:szCs w:val="18"/>
              </w:rPr>
            </w:pPr>
          </w:p>
        </w:tc>
        <w:tc>
          <w:tcPr>
            <w:tcW w:w="107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质量管理部经理</w:t>
            </w:r>
          </w:p>
        </w:tc>
        <w:tc>
          <w:tcPr>
            <w:tcW w:w="128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质量管理部</w:t>
            </w:r>
          </w:p>
        </w:tc>
        <w:tc>
          <w:tcPr>
            <w:tcW w:w="2616"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质量体系规划、内外部审核管理及重大质量事故处理的负责人。</w:t>
            </w:r>
          </w:p>
        </w:tc>
        <w:tc>
          <w:tcPr>
            <w:tcW w:w="130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质量管理专员</w:t>
            </w:r>
          </w:p>
        </w:tc>
        <w:tc>
          <w:tcPr>
            <w:tcW w:w="807" w:type="dxa"/>
            <w:tcBorders>
              <w:top w:val="single" w:sz="4" w:space="0" w:color="auto"/>
              <w:left w:val="single" w:sz="4" w:space="0" w:color="auto"/>
              <w:bottom w:val="single" w:sz="12" w:space="0" w:color="auto"/>
              <w:right w:val="single" w:sz="4"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1人</w:t>
            </w:r>
          </w:p>
        </w:tc>
        <w:tc>
          <w:tcPr>
            <w:tcW w:w="85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i w:val="0"/>
                <w:iCs w:val="0"/>
                <w:caps w:val="0"/>
                <w:snapToGrid w:val="0"/>
                <w:color w:val="000000"/>
                <w:spacing w:val="0"/>
                <w:kern w:val="0"/>
                <w:sz w:val="18"/>
                <w:szCs w:val="18"/>
                <w:lang w:val="en-US" w:eastAsia="zh-CN"/>
              </w:rPr>
            </w:pPr>
            <w:r>
              <w:rPr>
                <w:rFonts w:ascii="Segoe UI" w:eastAsia="Segoe UI" w:hAnsi="Segoe UI" w:cs="Segoe UI" w:hint="eastAsia"/>
                <w:i w:val="0"/>
                <w:iCs w:val="0"/>
                <w:caps w:val="0"/>
                <w:snapToGrid w:val="0"/>
                <w:color w:val="000000"/>
                <w:spacing w:val="0"/>
                <w:kern w:val="0"/>
                <w:sz w:val="18"/>
                <w:szCs w:val="18"/>
                <w:lang w:val="en-US" w:eastAsia="zh-CN"/>
              </w:rPr>
              <w:t>2025年7月</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8164"/>
      <w:r>
        <w:rPr>
          <w:rFonts w:hint="default"/>
          <w:lang w:val="en-US" w:eastAsia="zh-CN"/>
        </w:rPr>
        <w:t>人员培训</w:t>
      </w:r>
      <w:r>
        <w:rPr>
          <w:rFonts w:hint="eastAsia"/>
          <w:lang w:val="en-US" w:eastAsia="zh-CN"/>
        </w:rPr>
        <w:t>计划</w:t>
      </w:r>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3548"/>
      <w:r>
        <w:rPr>
          <w:rFonts w:hint="default"/>
          <w:lang w:val="en-US" w:eastAsia="zh-CN"/>
        </w:rPr>
        <w:t>培训计划制定与审批</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制定：人力资源部基于确认的《年度培训需求分析报告》，结合培训预算，制定《年度培训计划》。计划应明确各项培训的目标、对象、内容、形式（如内训、外训、在线学习等）、时间、课时、预算及预期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计划审批：《年度培训计划》需提报管理者代表审批。涉及重大预算或战略性的培训项目，需按公司规定报更高层级领导批准。计划批准后，由人力资源部发布并组织实施。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6138"/>
      <w:r>
        <w:rPr>
          <w:rFonts w:hint="default"/>
          <w:lang w:val="en-US" w:eastAsia="zh-CN"/>
        </w:rPr>
        <w:t>培训组织实施</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根据人力资源部汇总各部门的培训需求，梳理成培训计划如下：</w:t>
      </w:r>
    </w:p>
    <w:tbl>
      <w:tblPr>
        <w:tblStyle w:val="TableNormal"/>
        <w:tblW w:w="849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tblPrEx>
          <w:tblW w:w="849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Layout w:type="fixed"/>
          <w:tblCellMar>
            <w:top w:w="15" w:type="dxa"/>
            <w:left w:w="15" w:type="dxa"/>
            <w:bottom w:w="15" w:type="dxa"/>
            <w:right w:w="15" w:type="dxa"/>
          </w:tblCellMar>
        </w:tblPrEx>
        <w:trPr>
          <w:trHeight w:val="0"/>
          <w:tblHeader/>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5"/>
                <w:szCs w:val="15"/>
              </w:rPr>
            </w:pPr>
            <w:r>
              <w:rPr>
                <w:rFonts w:ascii="Segoe UI" w:eastAsia="Segoe UI" w:hAnsi="Segoe UI" w:cs="Segoe UI" w:hint="default"/>
                <w:b/>
                <w:i w:val="0"/>
                <w:iCs w:val="0"/>
                <w:caps w:val="0"/>
                <w:snapToGrid w:val="0"/>
                <w:color w:val="000000"/>
                <w:spacing w:val="0"/>
                <w:kern w:val="0"/>
                <w:sz w:val="15"/>
                <w:szCs w:val="15"/>
                <w:lang w:val="en-US" w:eastAsia="zh-CN"/>
              </w:rPr>
              <w:t>项目名称</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5"/>
                <w:szCs w:val="15"/>
                <w:lang w:val="en-US"/>
              </w:rPr>
            </w:pPr>
            <w:r>
              <w:rPr>
                <w:rFonts w:ascii="Segoe UI" w:eastAsia="Segoe UI" w:hAnsi="Segoe UI" w:cs="Segoe UI" w:hint="default"/>
                <w:b/>
                <w:i w:val="0"/>
                <w:iCs w:val="0"/>
                <w:caps w:val="0"/>
                <w:snapToGrid w:val="0"/>
                <w:color w:val="000000"/>
                <w:spacing w:val="0"/>
                <w:kern w:val="0"/>
                <w:sz w:val="15"/>
                <w:szCs w:val="15"/>
                <w:lang w:val="en-US" w:eastAsia="zh-CN"/>
              </w:rPr>
              <w:t>培训</w:t>
            </w:r>
            <w:r>
              <w:rPr>
                <w:rFonts w:ascii="Segoe UI" w:eastAsia="Segoe UI" w:hAnsi="Segoe UI" w:cs="Segoe UI" w:hint="eastAsia"/>
                <w:b/>
                <w:i w:val="0"/>
                <w:iCs w:val="0"/>
                <w:caps w:val="0"/>
                <w:snapToGrid w:val="0"/>
                <w:color w:val="000000"/>
                <w:spacing w:val="0"/>
                <w:kern w:val="0"/>
                <w:sz w:val="15"/>
                <w:szCs w:val="15"/>
                <w:lang w:val="en-US" w:eastAsia="zh-CN"/>
              </w:rPr>
              <w:t>课时</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5"/>
                <w:szCs w:val="15"/>
              </w:rPr>
            </w:pPr>
            <w:r>
              <w:rPr>
                <w:rFonts w:ascii="Segoe UI" w:eastAsia="Segoe UI" w:hAnsi="Segoe UI" w:cs="Segoe UI" w:hint="default"/>
                <w:b/>
                <w:i w:val="0"/>
                <w:iCs w:val="0"/>
                <w:caps w:val="0"/>
                <w:snapToGrid w:val="0"/>
                <w:color w:val="000000"/>
                <w:spacing w:val="0"/>
                <w:kern w:val="0"/>
                <w:sz w:val="15"/>
                <w:szCs w:val="15"/>
                <w:lang w:val="en-US" w:eastAsia="zh-CN"/>
              </w:rPr>
              <w:t>培训方式</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5"/>
                <w:szCs w:val="15"/>
              </w:rPr>
            </w:pPr>
            <w:r>
              <w:rPr>
                <w:rFonts w:ascii="Segoe UI" w:eastAsia="Segoe UI" w:hAnsi="Segoe UI" w:cs="Segoe UI" w:hint="default"/>
                <w:b/>
                <w:i w:val="0"/>
                <w:iCs w:val="0"/>
                <w:caps w:val="0"/>
                <w:snapToGrid w:val="0"/>
                <w:color w:val="000000"/>
                <w:spacing w:val="0"/>
                <w:kern w:val="0"/>
                <w:sz w:val="15"/>
                <w:szCs w:val="15"/>
                <w:lang w:val="en-US" w:eastAsia="zh-CN"/>
              </w:rPr>
              <w:t>培训时间</w:t>
            </w:r>
          </w:p>
        </w:tc>
        <w:tc>
          <w:tcPr>
            <w:tcW w:w="80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b/>
                <w:i w:val="0"/>
                <w:iCs w:val="0"/>
                <w:caps w:val="0"/>
                <w:color w:val="0F1115"/>
                <w:spacing w:val="0"/>
                <w:sz w:val="15"/>
                <w:szCs w:val="15"/>
                <w:lang w:val="en-US" w:eastAsia="zh-CN"/>
              </w:rPr>
            </w:pPr>
            <w:r>
              <w:rPr>
                <w:rFonts w:ascii="Segoe UI" w:eastAsia="宋体" w:hAnsi="Segoe UI" w:cs="Segoe UI" w:hint="eastAsia"/>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b/>
                <w:i w:val="0"/>
                <w:iCs w:val="0"/>
                <w:caps w:val="0"/>
                <w:snapToGrid w:val="0"/>
                <w:color w:val="000000"/>
                <w:spacing w:val="0"/>
                <w:kern w:val="0"/>
                <w:sz w:val="15"/>
                <w:szCs w:val="15"/>
                <w:lang w:val="en-US" w:eastAsia="zh-CN"/>
              </w:rPr>
            </w:pPr>
            <w:r>
              <w:rPr>
                <w:rFonts w:ascii="Segoe UI" w:eastAsia="Segoe UI" w:hAnsi="Segoe UI" w:cs="Segoe UI" w:hint="eastAsia"/>
                <w:b/>
                <w:i w:val="0"/>
                <w:iCs w:val="0"/>
                <w:caps w:val="0"/>
                <w:snapToGrid w:val="0"/>
                <w:color w:val="000000"/>
                <w:spacing w:val="0"/>
                <w:kern w:val="0"/>
                <w:sz w:val="15"/>
                <w:szCs w:val="15"/>
                <w:lang w:val="en-US" w:eastAsia="zh-CN"/>
              </w:rPr>
              <w:t>培训对象</w:t>
            </w:r>
          </w:p>
        </w:tc>
        <w:tc>
          <w:tcPr>
            <w:tcW w:w="8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snapToGrid w:val="0"/>
                <w:color w:val="000000"/>
                <w:spacing w:val="0"/>
                <w:kern w:val="0"/>
                <w:sz w:val="15"/>
                <w:szCs w:val="15"/>
                <w:lang w:val="en-US" w:eastAsia="zh-CN"/>
              </w:rPr>
            </w:pPr>
            <w:r>
              <w:rPr>
                <w:rFonts w:ascii="Segoe UI" w:eastAsia="Segoe UI" w:hAnsi="Segoe UI" w:cs="Segoe UI" w:hint="default"/>
                <w:b/>
                <w:i w:val="0"/>
                <w:iCs w:val="0"/>
                <w:caps w:val="0"/>
                <w:snapToGrid w:val="0"/>
                <w:color w:val="000000"/>
                <w:spacing w:val="0"/>
                <w:kern w:val="0"/>
                <w:sz w:val="15"/>
                <w:szCs w:val="15"/>
                <w:lang w:val="en-US" w:eastAsia="zh-CN"/>
              </w:rPr>
              <w:t>费用预估</w:t>
            </w:r>
          </w:p>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snapToGrid w:val="0"/>
                <w:color w:val="0F1115"/>
                <w:spacing w:val="0"/>
                <w:kern w:val="0"/>
                <w:sz w:val="15"/>
                <w:szCs w:val="15"/>
                <w:lang w:val="en-US" w:eastAsia="zh-CN" w:bidi="ar-SA"/>
              </w:rPr>
            </w:pPr>
            <w:r>
              <w:rPr>
                <w:rFonts w:ascii="Segoe UI" w:eastAsia="Segoe UI" w:hAnsi="Segoe UI" w:cs="Segoe UI" w:hint="default"/>
                <w:b/>
                <w:i w:val="0"/>
                <w:iCs w:val="0"/>
                <w:caps w:val="0"/>
                <w:snapToGrid w:val="0"/>
                <w:color w:val="000000"/>
                <w:spacing w:val="0"/>
                <w:kern w:val="0"/>
                <w:sz w:val="15"/>
                <w:szCs w:val="15"/>
                <w:lang w:val="en-US" w:eastAsia="zh-CN"/>
              </w:rPr>
              <w:t>（元）</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ITSS运维体系培训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年1月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color w:val="0F1115"/>
                <w:spacing w:val="0"/>
                <w:sz w:val="15"/>
                <w:szCs w:val="15"/>
              </w:rPr>
              <w:t>平湾</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全体人员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人员备份培训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15"/>
                <w:szCs w:val="15"/>
                <w:lang w:val="en-US" w:eastAsia="zh-CN"/>
              </w:rPr>
            </w:pPr>
            <w:r>
              <w:rPr>
                <w:rFonts w:ascii="Segoe UI"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2025年1月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color w:val="0F1115"/>
                <w:spacing w:val="0"/>
                <w:sz w:val="15"/>
                <w:szCs w:val="15"/>
              </w:rPr>
              <w:t>平湾</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服务意识培训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年2月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运维工具培训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年3月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工单</w:t>
            </w:r>
            <w:r>
              <w:rPr>
                <w:rFonts w:ascii="Segoe UI" w:eastAsia="Segoe UI" w:hAnsi="Segoe UI" w:cs="Segoe UI" w:hint="default"/>
                <w:i w:val="0"/>
                <w:iCs w:val="0"/>
                <w:caps w:val="0"/>
                <w:snapToGrid w:val="0"/>
                <w:color w:val="000000"/>
                <w:spacing w:val="0"/>
                <w:kern w:val="0"/>
                <w:sz w:val="15"/>
                <w:szCs w:val="15"/>
                <w:lang w:val="en-US" w:eastAsia="zh-CN"/>
              </w:rPr>
              <w:t>系统培训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年4月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员工手册培训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年5月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应急管理培训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4</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2025年5月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eastAsia"/>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Java 架构培训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年6月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color w:val="0F1115"/>
                <w:spacing w:val="0"/>
                <w:sz w:val="15"/>
                <w:szCs w:val="15"/>
              </w:rPr>
              <w:t>金天宇</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5,000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eastAsia"/>
                <w:i w:val="0"/>
                <w:iCs w:val="0"/>
                <w:caps w:val="0"/>
                <w:snapToGrid w:val="0"/>
                <w:color w:val="000000"/>
                <w:spacing w:val="0"/>
                <w:kern w:val="0"/>
                <w:sz w:val="15"/>
                <w:szCs w:val="15"/>
                <w:lang w:val="en-US" w:eastAsia="zh-CN"/>
              </w:rPr>
              <w:t>信息安全培训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年7月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snapToGrid w:val="0"/>
                <w:color w:val="0F1115"/>
                <w:spacing w:val="0"/>
                <w:kern w:val="0"/>
                <w:sz w:val="15"/>
                <w:szCs w:val="15"/>
                <w:lang w:val="en-US" w:eastAsia="zh-CN" w:bidi="ar-SA"/>
              </w:rPr>
            </w:pPr>
            <w:r>
              <w:rPr>
                <w:rFonts w:ascii="Segoe UI" w:eastAsia="宋体" w:hAnsi="Segoe UI" w:cs="Segoe UI" w:hint="eastAsia"/>
                <w:i w:val="0"/>
                <w:iCs w:val="0"/>
                <w:caps w:val="0"/>
                <w:color w:val="0F1115"/>
                <w:spacing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eastAsia"/>
                <w:i w:val="0"/>
                <w:iCs w:val="0"/>
                <w:caps w:val="0"/>
                <w:snapToGrid w:val="0"/>
                <w:color w:val="000000"/>
                <w:spacing w:val="0"/>
                <w:kern w:val="0"/>
                <w:sz w:val="15"/>
                <w:szCs w:val="15"/>
                <w:lang w:val="en-US" w:eastAsia="zh-CN"/>
              </w:rPr>
              <w:t>服务台规范培训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年8月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snapToGrid w:val="0"/>
                <w:color w:val="0F1115"/>
                <w:spacing w:val="0"/>
                <w:kern w:val="0"/>
                <w:sz w:val="15"/>
                <w:szCs w:val="15"/>
                <w:lang w:val="en-US" w:eastAsia="zh-CN" w:bidi="ar-SA"/>
              </w:rPr>
            </w:pPr>
            <w:r>
              <w:rPr>
                <w:rFonts w:ascii="Segoe UI" w:eastAsia="宋体" w:hAnsi="Segoe UI" w:cs="Segoe UI" w:hint="eastAsia"/>
                <w:i w:val="0"/>
                <w:iCs w:val="0"/>
                <w:caps w:val="0"/>
                <w:color w:val="0F1115"/>
                <w:spacing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管理能力提升</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1</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年9月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宋体" w:hAnsi="Segoe UI" w:cs="Segoe UI" w:hint="default"/>
                <w:i w:val="0"/>
                <w:iCs w:val="0"/>
                <w:caps w:val="0"/>
                <w:color w:val="0F1115"/>
                <w:spacing w:val="0"/>
                <w:sz w:val="15"/>
                <w:szCs w:val="15"/>
                <w:lang w:val="en-US" w:eastAsia="zh-CN"/>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tabs>
                <w:tab w:val="center" w:pos="528"/>
              </w:tabs>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snapToGrid w:val="0"/>
                <w:color w:val="0F1115"/>
                <w:spacing w:val="0"/>
                <w:kern w:val="0"/>
                <w:sz w:val="15"/>
                <w:szCs w:val="15"/>
                <w:lang w:val="en-US" w:eastAsia="zh-CN" w:bidi="ar-SA"/>
              </w:rPr>
            </w:pPr>
            <w:r>
              <w:rPr>
                <w:rFonts w:ascii="Segoe UI" w:eastAsia="宋体" w:hAnsi="Segoe UI" w:cs="Segoe UI" w:hint="eastAsia"/>
                <w:i w:val="0"/>
                <w:iCs w:val="0"/>
                <w:caps w:val="0"/>
                <w:color w:val="0F1115"/>
                <w:spacing w:val="0"/>
                <w:sz w:val="15"/>
                <w:szCs w:val="15"/>
                <w:lang w:val="en-US" w:eastAsia="zh-CN"/>
              </w:rPr>
              <w:t>10000</w:t>
            </w:r>
          </w:p>
        </w:tc>
      </w:tr>
      <w:tr>
        <w:tblPrEx>
          <w:tblW w:w="8495" w:type="dxa"/>
          <w:tblInd w:w="0" w:type="dxa"/>
          <w:shd w:val="clear" w:color="auto" w:fill="auto"/>
          <w:tblLayout w:type="fixed"/>
          <w:tblCellMar>
            <w:top w:w="15" w:type="dxa"/>
            <w:left w:w="15" w:type="dxa"/>
            <w:bottom w:w="15" w:type="dxa"/>
            <w:right w:w="15" w:type="dxa"/>
          </w:tblCellMar>
        </w:tblPrEx>
        <w:trPr>
          <w:trHeight w:val="447"/>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日常运维典型案例分析</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default"/>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年10月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color w:val="0F1115"/>
                <w:spacing w:val="0"/>
                <w:sz w:val="15"/>
                <w:szCs w:val="15"/>
              </w:rPr>
              <w:t>强宇涛</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eastAsia"/>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i w:val="0"/>
                <w:iCs w:val="0"/>
                <w:caps w:val="0"/>
                <w:snapToGrid w:val="0"/>
                <w:color w:val="0F1115"/>
                <w:spacing w:val="0"/>
                <w:kern w:val="0"/>
                <w:sz w:val="15"/>
                <w:szCs w:val="15"/>
                <w:lang w:val="en-US" w:eastAsia="zh-CN" w:bidi="ar-SA"/>
              </w:rPr>
            </w:pPr>
            <w:r>
              <w:rPr>
                <w:rFonts w:ascii="Segoe UI" w:eastAsia="Segoe UI" w:hAnsi="Segoe UI" w:cs="Segoe UI" w:hint="eastAsia"/>
                <w:i w:val="0"/>
                <w:iCs w:val="0"/>
                <w:caps w:val="0"/>
                <w:snapToGrid w:val="0"/>
                <w:color w:val="000000"/>
                <w:spacing w:val="0"/>
                <w:kern w:val="0"/>
                <w:sz w:val="15"/>
                <w:szCs w:val="15"/>
                <w:lang w:val="en-US" w:eastAsia="zh-CN"/>
              </w:rPr>
              <w:t>0</w:t>
            </w:r>
          </w:p>
        </w:tc>
      </w:tr>
      <w:tr>
        <w:tblPrEx>
          <w:tblW w:w="8495" w:type="dxa"/>
          <w:tblInd w:w="0" w:type="dxa"/>
          <w:shd w:val="clear" w:color="auto" w:fill="auto"/>
          <w:tblLayout w:type="fixed"/>
          <w:tblCellMar>
            <w:top w:w="15" w:type="dxa"/>
            <w:left w:w="15" w:type="dxa"/>
            <w:bottom w:w="15" w:type="dxa"/>
            <w:right w:w="15" w:type="dxa"/>
          </w:tblCellMar>
        </w:tblPrEx>
        <w:trPr>
          <w:trHeight w:val="0"/>
        </w:trPr>
        <w:tc>
          <w:tcPr>
            <w:tcW w:w="532" w:type="dxa"/>
            <w:shd w:val="clear" w:color="auto" w:fill="auto"/>
            <w:tcMar>
              <w:top w:w="120" w:type="dxa"/>
              <w:left w:w="0" w:type="dxa"/>
              <w:bottom w:w="120" w:type="dxa"/>
              <w:right w:w="192" w:type="dxa"/>
            </w:tcMar>
            <w:vAlign w:val="center"/>
          </w:tcPr>
          <w:p>
            <w:pPr>
              <w:keepNext w:val="0"/>
              <w:keepLines w:val="0"/>
              <w:pageBreakBefore w:val="0"/>
              <w:widowControl w:val="0"/>
              <w:numPr>
                <w:ilvl w:val="0"/>
                <w:numId w:val="11"/>
              </w:numPr>
              <w:suppressLineNumbers w:val="0"/>
              <w:kinsoku w:val="0"/>
              <w:wordWrap/>
              <w:overflowPunct/>
              <w:topLinePunct w:val="0"/>
              <w:autoSpaceDE w:val="0"/>
              <w:autoSpaceDN w:val="0"/>
              <w:bidi w:val="0"/>
              <w:adjustRightInd w:val="0"/>
              <w:snapToGrid w:val="0"/>
              <w:spacing w:line="240" w:lineRule="auto"/>
              <w:ind w:left="210" w:right="0" w:firstLine="0" w:leftChars="100" w:rightChars="0" w:firstLineChars="0"/>
              <w:jc w:val="both"/>
              <w:textAlignment w:val="baseline"/>
              <w:rPr>
                <w:rFonts w:ascii="Segoe UI" w:eastAsia="Segoe UI" w:hAnsi="Segoe UI" w:cs="Segoe UI" w:hint="default"/>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宋体" w:hAnsi="Segoe UI" w:cs="Segoe UI" w:hint="default"/>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15"/>
                <w:szCs w:val="15"/>
                <w:lang w:val="en-US" w:eastAsia="zh-CN"/>
              </w:rPr>
            </w:pPr>
            <w:r>
              <w:rPr>
                <w:rFonts w:ascii="Segoe UI" w:eastAsia="宋体" w:hAnsi="Segoe UI" w:cs="Segoe UI" w:hint="eastAsia"/>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default"/>
                <w:i w:val="0"/>
                <w:iCs w:val="0"/>
                <w:caps w:val="0"/>
                <w:snapToGrid w:val="0"/>
                <w:color w:val="000000"/>
                <w:spacing w:val="0"/>
                <w:kern w:val="0"/>
                <w:sz w:val="15"/>
                <w:szCs w:val="15"/>
                <w:lang w:val="en-US" w:eastAsia="zh-CN"/>
              </w:rPr>
              <w:t>内部</w:t>
            </w:r>
            <w:r>
              <w:rPr>
                <w:rFonts w:ascii="Segoe UI" w:eastAsia="Segoe UI" w:hAnsi="Segoe UI" w:cs="Segoe UI" w:hint="eastAsia"/>
                <w:i w:val="0"/>
                <w:iCs w:val="0"/>
                <w:caps w:val="0"/>
                <w:snapToGrid w:val="0"/>
                <w:color w:val="000000"/>
                <w:spacing w:val="0"/>
                <w:kern w:val="0"/>
                <w:sz w:val="15"/>
                <w:szCs w:val="15"/>
                <w:lang w:val="en-US" w:eastAsia="zh-CN"/>
              </w:rPr>
              <w:t xml:space="preserve"> </w:t>
            </w:r>
          </w:p>
        </w:tc>
        <w:tc>
          <w:tcPr>
            <w:tcW w:w="1176"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5"/>
                <w:szCs w:val="15"/>
              </w:rPr>
            </w:pPr>
            <w:r>
              <w:rPr>
                <w:rFonts w:ascii="Segoe UI" w:eastAsia="Segoe UI" w:hAnsi="Segoe UI" w:cs="Segoe UI" w:hint="eastAsia"/>
                <w:i w:val="0"/>
                <w:iCs w:val="0"/>
                <w:caps w:val="0"/>
                <w:snapToGrid w:val="0"/>
                <w:color w:val="000000"/>
                <w:spacing w:val="0"/>
                <w:kern w:val="0"/>
                <w:sz w:val="15"/>
                <w:szCs w:val="15"/>
                <w:lang w:val="en-US" w:eastAsia="zh-CN"/>
              </w:rPr>
              <w:t>2025</w:t>
            </w:r>
            <w:r>
              <w:rPr>
                <w:rFonts w:ascii="Segoe UI" w:eastAsia="Segoe UI" w:hAnsi="Segoe UI" w:cs="Segoe UI" w:hint="default"/>
                <w:i w:val="0"/>
                <w:iCs w:val="0"/>
                <w:caps w:val="0"/>
                <w:snapToGrid w:val="0"/>
                <w:color w:val="000000"/>
                <w:spacing w:val="0"/>
                <w:kern w:val="0"/>
                <w:sz w:val="15"/>
                <w:szCs w:val="15"/>
                <w:lang w:val="en-US" w:eastAsia="zh-CN"/>
              </w:rPr>
              <w:t>年11月</w:t>
            </w:r>
          </w:p>
        </w:tc>
        <w:tc>
          <w:tcPr>
            <w:tcW w:w="80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color w:val="0F1115"/>
                <w:spacing w:val="0"/>
                <w:sz w:val="15"/>
                <w:szCs w:val="15"/>
                <w:lang w:val="en-US"/>
              </w:rPr>
            </w:pPr>
            <w:r>
              <w:rPr>
                <w:rFonts w:ascii="Segoe UI" w:eastAsia="Segoe UI" w:hAnsi="Segoe UI" w:cs="Segoe UI" w:hint="default"/>
                <w:i w:val="0"/>
                <w:iCs w:val="0"/>
                <w:caps w:val="0"/>
                <w:color w:val="0F1115"/>
                <w:spacing w:val="0"/>
                <w:sz w:val="15"/>
                <w:szCs w:val="15"/>
              </w:rPr>
              <w:t>金天宇</w:t>
            </w:r>
          </w:p>
        </w:tc>
        <w:tc>
          <w:tcPr>
            <w:tcW w:w="1204"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both"/>
              <w:textAlignment w:val="baseline"/>
              <w:rPr>
                <w:rFonts w:ascii="Segoe UI" w:eastAsia="Segoe UI" w:hAnsi="Segoe UI" w:cs="Segoe UI" w:hint="default"/>
                <w:i w:val="0"/>
                <w:iCs w:val="0"/>
                <w:caps w:val="0"/>
                <w:snapToGrid w:val="0"/>
                <w:color w:val="000000"/>
                <w:spacing w:val="0"/>
                <w:kern w:val="0"/>
                <w:sz w:val="15"/>
                <w:szCs w:val="15"/>
                <w:lang w:val="en-US" w:eastAsia="zh-CN"/>
              </w:rPr>
            </w:pPr>
            <w:r>
              <w:rPr>
                <w:rFonts w:ascii="Segoe UI" w:eastAsia="Segoe UI" w:hAnsi="Segoe UI" w:cs="Segoe UI" w:hint="eastAsia"/>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snapToGrid w:val="0"/>
                <w:color w:val="0F1115"/>
                <w:spacing w:val="0"/>
                <w:kern w:val="0"/>
                <w:sz w:val="15"/>
                <w:szCs w:val="15"/>
                <w:lang w:val="en-US" w:eastAsia="zh-CN" w:bidi="ar-SA"/>
              </w:rPr>
            </w:pPr>
            <w:r>
              <w:rPr>
                <w:rFonts w:ascii="Segoe UI" w:eastAsia="Segoe UI" w:hAnsi="Segoe UI" w:cs="Segoe UI" w:hint="default"/>
                <w:i w:val="0"/>
                <w:iCs w:val="0"/>
                <w:caps w:val="0"/>
                <w:snapToGrid w:val="0"/>
                <w:color w:val="000000"/>
                <w:spacing w:val="0"/>
                <w:kern w:val="0"/>
                <w:sz w:val="15"/>
                <w:szCs w:val="15"/>
                <w:lang w:val="en-US" w:eastAsia="zh-CN"/>
              </w:rPr>
              <w:t>0</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4145"/>
      <w:r>
        <w:rPr>
          <w:rFonts w:hint="default"/>
          <w:lang w:val="en-US" w:eastAsia="zh-CN"/>
        </w:rPr>
        <w:t>人员绩效考核</w:t>
      </w:r>
      <w:r>
        <w:rPr>
          <w:rFonts w:hint="eastAsia"/>
          <w:lang w:val="en-US" w:eastAsia="zh-CN"/>
        </w:rPr>
        <w:t>计划</w:t>
      </w:r>
      <w:bookmarkEnd w:id="2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31029"/>
      <w:r>
        <w:rPr>
          <w:rFonts w:hint="default"/>
          <w:lang w:val="en-US" w:eastAsia="zh-CN"/>
        </w:rPr>
        <w:t>考核周期设定</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季度考核：适用于所有正式员工，于每季度结束后开展，重点评估阶段性目标完成情况与过程表现。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年度考核：于每年年末进行，综合当年四个季度的考核结果与年度综合能力行为评价，形成年度最终绩效等级。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9152"/>
      <w:r>
        <w:rPr>
          <w:rFonts w:hint="eastAsia"/>
          <w:lang w:val="en-US" w:eastAsia="zh-CN"/>
        </w:rPr>
        <w:t>考核指标要求</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人员绩效考核指标为季度绩效考核合格率，计算方式为绩效考核合格人数/绩效考核总人数*100%。目标值为≥90%。</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2524"/>
      <w:r>
        <w:rPr>
          <w:rFonts w:hint="default"/>
          <w:lang w:val="en-US" w:eastAsia="zh-CN"/>
        </w:rPr>
        <w:t>人员技能评定</w:t>
      </w:r>
      <w:r>
        <w:rPr>
          <w:rFonts w:hint="eastAsia"/>
          <w:lang w:val="en-US" w:eastAsia="zh-CN"/>
        </w:rPr>
        <w:t>计划</w:t>
      </w:r>
      <w:bookmarkEnd w:id="2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8470"/>
      <w:r>
        <w:rPr>
          <w:rFonts w:hint="default"/>
          <w:lang w:val="en-US" w:eastAsia="zh-CN"/>
        </w:rPr>
        <w:t>评定流程</w:t>
      </w:r>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申请与推荐：员工根据自愿原则，对照标准进行自评，填写《技能等级晋升申请表》，并附具详实的业绩证明材料，经直接上级与部门负责人审核推荐。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资格审查：人力资源部会同业务部门，对申请人的基本条件（如司龄、上年度绩效等级等）进行硬性审核，确保参评资格合规。</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综合评价：此为评定核心环节，由相对独立的“履历评审”与“能力答辩”两部分构成，从“做过什么”和“能做什么”两个维度进行全面考察。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审批与公示：拟定名单经管理层审批后，进行公示，确保程序公正透明。</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应用生效：公示无异议后，新等级于次月正式生效，并启动后续的薪酬调整、档案更新等工作。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20092"/>
      <w:r>
        <w:rPr>
          <w:rFonts w:hint="default"/>
          <w:lang w:val="en-US" w:eastAsia="zh-CN"/>
        </w:rPr>
        <w:t>技能模型与等级标准</w:t>
      </w:r>
      <w:bookmarkEnd w:id="30"/>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919"/>
        <w:gridCol w:w="1750"/>
        <w:gridCol w:w="3094"/>
        <w:gridCol w:w="2735"/>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919"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等级</w:t>
            </w:r>
          </w:p>
        </w:tc>
        <w:tc>
          <w:tcPr>
            <w:tcW w:w="175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通用核心定义</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技术运维序列（示例：运维工程师方向）</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质量管理序列（示例：质量专员方向）</w:t>
            </w:r>
          </w:p>
        </w:tc>
      </w:tr>
      <w:tr>
        <w:tblPrEx>
          <w:tblW w:w="0" w:type="auto"/>
          <w:tblInd w:w="0" w:type="dxa"/>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T1初级</w:t>
            </w:r>
          </w:p>
        </w:tc>
        <w:tc>
          <w:tcPr>
            <w:tcW w:w="175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在指导下按规程工作。</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能执行标准监控、处理预设告警、完成基础数据备份与巡检。</w:t>
            </w:r>
          </w:p>
        </w:tc>
        <w:tc>
          <w:tcPr>
            <w:tcW w:w="0" w:type="auto"/>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能按检查单执行过程审计、准确记录质量数据、管理基础文档。</w:t>
            </w:r>
          </w:p>
        </w:tc>
      </w:tr>
      <w:tr>
        <w:tblPrEx>
          <w:tblW w:w="0" w:type="auto"/>
          <w:tblInd w:w="0" w:type="dxa"/>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T2中级</w:t>
            </w:r>
          </w:p>
        </w:tc>
        <w:tc>
          <w:tcPr>
            <w:tcW w:w="175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独立负责模块工作，解决常见问题。</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能独立部署维护系统模块，分析解决常见故障，编写简单脚本提升效率。</w:t>
            </w:r>
          </w:p>
        </w:tc>
        <w:tc>
          <w:tcPr>
            <w:tcW w:w="0" w:type="auto"/>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能独立开展项目质量检查，分析一般不符合项，提出纠正措施。</w:t>
            </w:r>
          </w:p>
        </w:tc>
      </w:tr>
      <w:tr>
        <w:tblPrEx>
          <w:tblW w:w="0" w:type="auto"/>
          <w:tblInd w:w="0" w:type="dxa"/>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T3高级</w:t>
            </w:r>
          </w:p>
        </w:tc>
        <w:tc>
          <w:tcPr>
            <w:tcW w:w="175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负责复杂任务/项目，能攻坚并指导他人。</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能主导复杂故障根因分析与性能调优，设计实施自动化方案，承担项目技术主力。</w:t>
            </w:r>
          </w:p>
        </w:tc>
        <w:tc>
          <w:tcPr>
            <w:tcW w:w="0" w:type="auto"/>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能主导质量改进项目，设计关键控制点流程，协调处理客户质量投诉。</w:t>
            </w:r>
          </w:p>
        </w:tc>
      </w:tr>
      <w:tr>
        <w:tblPrEx>
          <w:tblW w:w="0" w:type="auto"/>
          <w:tblInd w:w="0" w:type="dxa"/>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T4专家</w:t>
            </w:r>
          </w:p>
        </w:tc>
        <w:tc>
          <w:tcPr>
            <w:tcW w:w="175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领域专家，主导关键技术方案，影响业务。</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能规划运维技术架构，解决系统性技术难题，主导研发核心运维工具平台。</w:t>
            </w:r>
          </w:p>
        </w:tc>
        <w:tc>
          <w:tcPr>
            <w:tcW w:w="0" w:type="auto"/>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能优化公司级质量/应急管理体系，主导重大风险预案制定与演练，赋能团队。</w:t>
            </w:r>
          </w:p>
        </w:tc>
      </w:tr>
      <w:tr>
        <w:tblPrEx>
          <w:tblW w:w="0" w:type="auto"/>
          <w:tblInd w:w="0" w:type="dxa"/>
          <w:shd w:val="clear" w:color="auto" w:fill="auto"/>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T5资深专家</w:t>
            </w:r>
          </w:p>
        </w:tc>
        <w:tc>
          <w:tcPr>
            <w:tcW w:w="1750" w:type="dxa"/>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公司/行业权威，定义技术方向，解决战略难题。</w:t>
            </w:r>
          </w:p>
        </w:tc>
        <w:tc>
          <w:tcPr>
            <w:tcW w:w="0" w:type="auto"/>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能定义公司运维技术战略，研究引入前沿技术，解决行业级难题，提升公司技术影响力。</w:t>
            </w:r>
          </w:p>
        </w:tc>
        <w:tc>
          <w:tcPr>
            <w:tcW w:w="0" w:type="auto"/>
            <w:shd w:val="clear" w:color="auto" w:fill="auto"/>
            <w:tcMar>
              <w:top w:w="120" w:type="dxa"/>
              <w:left w:w="192" w:type="dxa"/>
              <w:bottom w:w="120" w:type="dxa"/>
              <w:right w:w="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300" w:lineRule="atLeast"/>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能定义公司质量与风控战略，构建行业最佳实践，代表公司参与标准制定。</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3673"/>
      <w:r>
        <w:rPr>
          <w:rFonts w:hint="default"/>
          <w:lang w:val="en-US" w:eastAsia="zh-CN"/>
        </w:rPr>
        <w:t>评定</w:t>
      </w:r>
      <w:r>
        <w:rPr>
          <w:rFonts w:hint="eastAsia"/>
          <w:lang w:val="en-US" w:eastAsia="zh-CN"/>
        </w:rPr>
        <w:t>实施</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常规集中评定：每年组织一次，计划于2025年</w:t>
      </w:r>
      <w:r>
        <w:rPr>
          <w:rFonts w:hint="eastAsia"/>
          <w:lang w:val="en-US" w:eastAsia="zh-CN"/>
        </w:rPr>
        <w:t>12月</w:t>
      </w:r>
      <w:r>
        <w:rPr>
          <w:rFonts w:hint="default"/>
          <w:lang w:val="en-US" w:eastAsia="zh-CN"/>
        </w:rPr>
        <w:t>启动并完成全部流程，确保评定结果可用于次年的薪酬调整与人才规划。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破格评定通道：为鼓励卓越贡献，设置绿色通道。凡在技术创新、解决重大生产故障、获得重要客户表彰等方面有突出贡献者，可随时由部门提交破格评定申请，经公司管理层特批后启动快速评定程序，不受上述常规周期限制。</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FC55FF5"/>
    <w:multiLevelType w:val="singleLevel"/>
    <w:tmpl w:val="BFC55FF5"/>
    <w:lvl w:ilvl="0">
      <w:start w:val="1"/>
      <w:numFmt w:val="decimal"/>
      <w:lvlText w:val="%1."/>
      <w:lvlJc w:val="left"/>
      <w:pPr>
        <w:ind w:left="425" w:hanging="425"/>
      </w:pPr>
      <w:rPr>
        <w:rFonts w:hint="default"/>
      </w:rPr>
    </w:lvl>
  </w:abstractNum>
  <w:abstractNum w:abstractNumId="2">
    <w:nsid w:val="EC7764DD"/>
    <w:multiLevelType w:val="singleLevel"/>
    <w:tmpl w:val="EC7764DD"/>
    <w:lvl w:ilvl="0">
      <w:start w:val="1"/>
      <w:numFmt w:val="decimal"/>
      <w:lvlText w:val="%1."/>
      <w:lvlJc w:val="left"/>
      <w:pPr>
        <w:ind w:left="425" w:hanging="425"/>
      </w:pPr>
      <w:rPr>
        <w:rFonts w:hint="default"/>
      </w:rPr>
    </w:lvl>
  </w:abstractNum>
  <w:abstractNum w:abstractNumId="3">
    <w:nsid w:val="0F92519D"/>
    <w:multiLevelType w:val="singleLevel"/>
    <w:tmpl w:val="0F92519D"/>
    <w:lvl w:ilvl="0">
      <w:start w:val="1"/>
      <w:numFmt w:val="decimal"/>
      <w:lvlText w:val="%1."/>
      <w:lvlJc w:val="left"/>
      <w:pPr>
        <w:ind w:left="425" w:hanging="425"/>
      </w:pPr>
      <w:rPr>
        <w:rFonts w:hint="default"/>
      </w:rPr>
    </w:lvl>
  </w:abstractNum>
  <w:abstractNum w:abstractNumId="4">
    <w:nsid w:val="3818ECCD"/>
    <w:multiLevelType w:val="singleLevel"/>
    <w:tmpl w:val="3818ECCD"/>
    <w:lvl w:ilvl="0">
      <w:start w:val="1"/>
      <w:numFmt w:val="decimal"/>
      <w:lvlText w:val="(%1)"/>
      <w:lvlJc w:val="left"/>
      <w:pPr>
        <w:tabs>
          <w:tab w:val="left" w:pos="420"/>
        </w:tabs>
        <w:ind w:left="845" w:hanging="425"/>
      </w:pPr>
      <w:rPr>
        <w:rFonts w:hint="default"/>
      </w:rPr>
    </w:lvl>
  </w:abstractNum>
  <w:abstractNum w:abstractNumId="5">
    <w:nsid w:val="38AAF248"/>
    <w:multiLevelType w:val="singleLevel"/>
    <w:tmpl w:val="38AAF248"/>
    <w:lvl w:ilvl="0">
      <w:start w:val="1"/>
      <w:numFmt w:val="decimal"/>
      <w:lvlText w:val="%1."/>
      <w:lvlJc w:val="left"/>
      <w:pPr>
        <w:ind w:left="425" w:hanging="425"/>
      </w:pPr>
      <w:rPr>
        <w:rFonts w:hint="default"/>
      </w:rPr>
    </w:lvl>
  </w:abstractNum>
  <w:abstractNum w:abstractNumId="6">
    <w:nsid w:val="52F5C425"/>
    <w:multiLevelType w:val="singleLevel"/>
    <w:tmpl w:val="52F5C425"/>
    <w:lvl w:ilvl="0">
      <w:start w:val="1"/>
      <w:numFmt w:val="decimal"/>
      <w:lvlText w:val="%1."/>
      <w:lvlJc w:val="left"/>
      <w:pPr>
        <w:ind w:left="425" w:hanging="425"/>
      </w:pPr>
      <w:rPr>
        <w:rFonts w:hint="default"/>
      </w:rPr>
    </w:lvl>
  </w:abstractNum>
  <w:abstractNum w:abstractNumId="7">
    <w:nsid w:val="5361D5D7"/>
    <w:multiLevelType w:val="singleLevel"/>
    <w:tmpl w:val="5361D5D7"/>
    <w:lvl w:ilvl="0">
      <w:start w:val="1"/>
      <w:numFmt w:val="decimal"/>
      <w:lvlText w:val="%1."/>
      <w:lvlJc w:val="left"/>
      <w:pPr>
        <w:ind w:left="425" w:hanging="425"/>
      </w:pPr>
      <w:rPr>
        <w:rFonts w:hint="default"/>
      </w:rPr>
    </w:lvl>
  </w:abstractNum>
  <w:abstractNum w:abstractNumId="8">
    <w:nsid w:val="5C6AE867"/>
    <w:multiLevelType w:val="singleLevel"/>
    <w:tmpl w:val="5C6AE867"/>
    <w:lvl w:ilvl="0">
      <w:start w:val="1"/>
      <w:numFmt w:val="decimal"/>
      <w:lvlText w:val="%1."/>
      <w:lvlJc w:val="left"/>
      <w:pPr>
        <w:ind w:left="425" w:hanging="425"/>
      </w:pPr>
      <w:rPr>
        <w:rFonts w:hint="default"/>
      </w:rPr>
    </w:lvl>
  </w:abstractNum>
  <w:abstractNum w:abstractNumId="9">
    <w:nsid w:val="60915A31"/>
    <w:multiLevelType w:val="singleLevel"/>
    <w:tmpl w:val="60915A31"/>
    <w:lvl w:ilvl="0">
      <w:start w:val="1"/>
      <w:numFmt w:val="decimal"/>
      <w:lvlText w:val="%1."/>
      <w:lvlJc w:val="left"/>
      <w:pPr>
        <w:ind w:left="425" w:hanging="425"/>
      </w:pPr>
      <w:rPr>
        <w:rFonts w:hint="default"/>
      </w:rPr>
    </w:lvl>
  </w:abstractNum>
  <w:abstractNum w:abstractNumId="10">
    <w:nsid w:val="7DB33DA3"/>
    <w:multiLevelType w:val="singleLevel"/>
    <w:tmpl w:val="7DB33DA3"/>
    <w:lvl w:ilvl="0">
      <w:start w:val="1"/>
      <w:numFmt w:val="decimal"/>
      <w:lvlText w:val="%1."/>
      <w:lvlJc w:val="left"/>
      <w:pPr>
        <w:ind w:left="425" w:hanging="425"/>
      </w:pPr>
      <w:rPr>
        <w:rFonts w:hint="default"/>
      </w:rPr>
    </w:lvl>
  </w:abstractNum>
  <w:num w:numId="1">
    <w:abstractNumId w:val="0"/>
  </w:num>
  <w:num w:numId="2">
    <w:abstractNumId w:val="7"/>
  </w:num>
  <w:num w:numId="3">
    <w:abstractNumId w:val="1"/>
  </w:num>
  <w:num w:numId="4">
    <w:abstractNumId w:val="8"/>
  </w:num>
  <w:num w:numId="5">
    <w:abstractNumId w:val="5"/>
  </w:num>
  <w:num w:numId="6">
    <w:abstractNumId w:val="10"/>
  </w:num>
  <w:num w:numId="7">
    <w:abstractNumId w:val="4"/>
  </w:num>
  <w:num w:numId="8">
    <w:abstractNumId w:val="6"/>
  </w:num>
  <w:num w:numId="9">
    <w:abstractNumId w:val="3"/>
  </w:num>
  <w:num w:numId="10">
    <w:abstractNumId w:val="2"/>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2">
    <w:name w:val="Table Normal_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10</Pages>
  <Words>2381</Words>
  <Characters>2552</Characters>
  <Application>Microsoft Office Word</Application>
  <DocSecurity>0</DocSecurity>
  <Lines>0</Lines>
  <Paragraphs>0</Paragraphs>
  <ScaleCrop>false</ScaleCrop>
  <Company/>
  <LinksUpToDate>false</LinksUpToDate>
  <CharactersWithSpaces>2658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2026-04-24T17:32:05Z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