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117"/>
      <w:bookmarkStart w:id="1" w:name="_Toc2704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31843"/>
      <w:r>
        <w:rPr>
          <w:rFonts w:hint="eastAsia"/>
          <w:lang w:val="en-US" w:eastAsia="zh-CN"/>
        </w:rPr>
        <w:t>2025年度人员管理报告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平湾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_Toc11117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2025年度人员管理报告</w:t>
          </w:r>
          <w:r>
            <w:tab/>
          </w:r>
          <w:r>
            <w:fldChar w:fldCharType="begin"/>
          </w:r>
          <w:r>
            <w:instrText xml:space="preserve"> PAGEREF _Toc31843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总体成就与现状总结</w:t>
          </w:r>
          <w:r>
            <w:tab/>
          </w:r>
          <w:r>
            <w:fldChar w:fldCharType="begin"/>
          </w:r>
          <w:r>
            <w:instrText xml:space="preserve"> PAGEREF _Toc10528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计划执行成果</w:t>
          </w:r>
          <w:r>
            <w:tab/>
          </w:r>
          <w:r>
            <w:fldChar w:fldCharType="begin"/>
          </w:r>
          <w:r>
            <w:instrText xml:space="preserve"> PAGEREF _Toc16703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_Toc26189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人员储备详情</w:t>
          </w:r>
          <w:r>
            <w:tab/>
          </w:r>
          <w:r>
            <w:fldChar w:fldCharType="begin"/>
          </w:r>
          <w:r>
            <w:instrText xml:space="preserve"> PAGEREF _Toc5525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人员储备KPI完成情况</w:t>
          </w:r>
          <w:r>
            <w:tab/>
          </w:r>
          <w:r>
            <w:fldChar w:fldCharType="begin"/>
          </w:r>
          <w:r>
            <w:instrText xml:space="preserve"> PAGEREF _Toc14422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_Toc23157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人员招聘情况详情</w:t>
          </w:r>
          <w:r>
            <w:tab/>
          </w:r>
          <w:r>
            <w:fldChar w:fldCharType="begin"/>
          </w:r>
          <w:r>
            <w:instrText xml:space="preserve"> PAGEREF _Toc16476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人员招聘KPI完成情况</w:t>
          </w:r>
          <w:r>
            <w:tab/>
          </w:r>
          <w:r>
            <w:fldChar w:fldCharType="begin"/>
          </w:r>
          <w:r>
            <w:instrText xml:space="preserve"> PAGEREF _Toc10125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_Toc28219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人员备份详情</w:t>
          </w:r>
          <w:r>
            <w:tab/>
          </w:r>
          <w:r>
            <w:fldChar w:fldCharType="begin"/>
          </w:r>
          <w:r>
            <w:instrText xml:space="preserve"> PAGEREF _Toc4255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人员备份KPI完成情况</w:t>
          </w:r>
          <w:r>
            <w:tab/>
          </w:r>
          <w:r>
            <w:fldChar w:fldCharType="begin"/>
          </w:r>
          <w:r>
            <w:instrText xml:space="preserve"> PAGEREF _Toc17564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_Toc7128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人员培训情况详情</w:t>
          </w:r>
          <w:r>
            <w:tab/>
          </w:r>
          <w:r>
            <w:fldChar w:fldCharType="begin"/>
          </w:r>
          <w:r>
            <w:instrText xml:space="preserve"> PAGEREF _Toc11898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人员培训KPI完成情况</w:t>
          </w:r>
          <w:r>
            <w:tab/>
          </w:r>
          <w:r>
            <w:fldChar w:fldCharType="begin"/>
          </w:r>
          <w:r>
            <w:instrText xml:space="preserve"> PAGEREF _Toc6085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_Toc31166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_Toc13811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2.5.1. </w:t>
          </w:r>
          <w:r>
            <w:rPr>
              <w:rFonts w:hint="eastAsia"/>
              <w:lang w:val="en-US" w:eastAsia="zh-CN"/>
            </w:rPr>
            <w:t>人员绩效考核详情</w:t>
          </w:r>
          <w:r>
            <w:tab/>
          </w:r>
          <w:r>
            <w:fldChar w:fldCharType="begin"/>
          </w:r>
          <w:r>
            <w:instrText xml:space="preserve"> PAGEREF _Toc13811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人员绩效考核KPI完成情况</w:t>
          </w:r>
          <w:r>
            <w:tab/>
          </w:r>
          <w:r>
            <w:fldChar w:fldCharType="begin"/>
          </w:r>
          <w:r>
            <w:instrText xml:space="preserve"> PAGEREF _Toc26601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_Toc14200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2.6.1. </w:t>
          </w:r>
          <w:r>
            <w:rPr>
              <w:rFonts w:hint="eastAsia"/>
              <w:lang w:val="en-US" w:eastAsia="zh-CN"/>
            </w:rPr>
            <w:t>人员技能评定详情</w:t>
          </w:r>
          <w:r>
            <w:tab/>
          </w:r>
          <w:r>
            <w:fldChar w:fldCharType="begin"/>
          </w:r>
          <w:r>
            <w:instrText xml:space="preserve"> PAGEREF _Toc3301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_Toc8962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2.6.2. </w:t>
          </w:r>
          <w:r>
            <w:rPr>
              <w:rFonts w:hint="eastAsia"/>
              <w:lang w:val="en-US" w:eastAsia="zh-CN"/>
            </w:rPr>
            <w:t>人员技能评定KPI完成情况</w:t>
          </w:r>
          <w:r>
            <w:tab/>
          </w:r>
          <w:r>
            <w:fldChar w:fldCharType="begin"/>
          </w:r>
          <w:r>
            <w:instrText xml:space="preserve"> PAGEREF _Toc8962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0528"/>
      <w:r>
        <w:rPr>
          <w:rFonts w:hint="eastAsia"/>
        </w:rPr>
        <w:t>总体成就与现状总结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本报告旨在系统总结《2025年度人员管理计划》自年初至1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月底的执行情况。总体而言，计划执行基本符合预期，在人员招聘、培训体系搭建及关键岗位风险管控方面取得了阶段性成果，为全年业务目标的达成提供了稳定的人力资源支撑。报告从招聘、储备、培训、备份、绩效及技能评定六大模块进行复盘，并对年底重点工作及下</w:t>
      </w:r>
      <w:r>
        <w:rPr>
          <w:rFonts w:hint="eastAsia"/>
          <w:lang w:val="en-US" w:eastAsia="zh-CN"/>
        </w:rPr>
        <w:t>一阶段</w:t>
      </w:r>
      <w:r>
        <w:rPr>
          <w:rFonts w:hint="eastAsia"/>
        </w:rPr>
        <w:t>规划提出建议。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6703"/>
      <w:r>
        <w:rPr>
          <w:rFonts w:hint="eastAsia"/>
          <w:lang w:val="en-US" w:eastAsia="zh-CN"/>
        </w:rPr>
        <w:t>计划执行成果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6189"/>
      <w:r>
        <w:rPr>
          <w:rFonts w:hint="eastAsia"/>
          <w:lang w:val="en-US" w:eastAsia="zh-CN"/>
        </w:rPr>
        <w:t>人员储备完成情况</w:t>
      </w:r>
      <w:bookmarkEnd w:id="5"/>
    </w:p>
    <w:p>
      <w:pPr>
        <w:pStyle w:val="3"/>
        <w:bidi w:val="0"/>
        <w:rPr>
          <w:rFonts w:hint="eastAsia"/>
          <w:lang w:val="en-US" w:eastAsia="zh-CN"/>
        </w:rPr>
      </w:pPr>
      <w:bookmarkStart w:id="6" w:name="_Toc5525"/>
      <w:r>
        <w:rPr>
          <w:rFonts w:hint="eastAsia"/>
          <w:lang w:val="en-US" w:eastAsia="zh-CN"/>
        </w:rPr>
        <w:t>人员储备详情</w:t>
      </w:r>
      <w:bookmarkEnd w:id="6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2040"/>
        <w:gridCol w:w="1289"/>
        <w:gridCol w:w="1348"/>
        <w:gridCol w:w="1796"/>
        <w:gridCol w:w="128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序号</w:t>
            </w:r>
          </w:p>
        </w:tc>
        <w:tc>
          <w:tcPr>
            <w:tcW w:w="20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34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储备来源</w:t>
            </w:r>
          </w:p>
        </w:tc>
        <w:tc>
          <w:tcPr>
            <w:tcW w:w="179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28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2人</w:t>
            </w:r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76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3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3"/>
        <w:bidi w:val="0"/>
        <w:rPr>
          <w:rFonts w:hint="default"/>
          <w:lang w:val="en-US" w:eastAsia="zh-CN"/>
        </w:rPr>
      </w:pPr>
      <w:bookmarkStart w:id="7" w:name="_Toc14422"/>
      <w:r>
        <w:rPr>
          <w:rFonts w:hint="eastAsia"/>
          <w:lang w:val="en-US" w:eastAsia="zh-CN"/>
        </w:rPr>
        <w:t>人员储备KPI完成情况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人员储备的考核指标是每季度储备计划完成率，计算方式为：实际完成储备人数数量/应储备人员总数量*100%。目标值是≥95%。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截止2025年12月，每季度均按时完成储备计划，储备计划完成率为100%。满足考核指标要求。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3157"/>
      <w:r>
        <w:rPr>
          <w:rFonts w:hint="eastAsia"/>
          <w:lang w:val="en-US" w:eastAsia="zh-CN"/>
        </w:rPr>
        <w:t>人员招聘完成情况</w:t>
      </w:r>
      <w:bookmarkEnd w:id="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6476"/>
      <w:r>
        <w:rPr>
          <w:rFonts w:hint="eastAsia"/>
          <w:lang w:val="en-US" w:eastAsia="zh-CN"/>
        </w:rPr>
        <w:t>人员招聘情况详情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招聘计划完成情况如下：</w:t>
      </w:r>
    </w:p>
    <w:tbl>
      <w:tblPr>
        <w:tblStyle w:val="TableNormal"/>
        <w:tblW w:w="85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>
        <w:tblPrEx>
          <w:tblW w:w="850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5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0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需求部门</w:t>
            </w:r>
          </w:p>
        </w:tc>
        <w:tc>
          <w:tcPr>
            <w:tcW w:w="171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72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18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0125"/>
      <w:r>
        <w:rPr>
          <w:rFonts w:hint="eastAsia"/>
          <w:lang w:val="en-US" w:eastAsia="zh-CN"/>
        </w:rPr>
        <w:t>人员招聘KPI完成情况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人员招聘的考核指标是每季度招聘计划达成率，计算方式为：</w:t>
      </w:r>
      <w:r>
        <w:rPr>
          <w:rFonts w:ascii="宋体" w:eastAsia="宋体" w:hAnsi="宋体" w:cs="宋体" w:hint="eastAsia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实际聘用人数/计划招聘人数*100%</w:t>
      </w:r>
      <w:r>
        <w:rPr>
          <w:rFonts w:ascii="宋体" w:hAnsi="宋体" w:cs="宋体" w:hint="eastAsia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。目标值是≥95%。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截止2025年12月，每季度均按时完成招聘计划，招聘计划达成率为100%。满足考核指标要求。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28219"/>
      <w:r>
        <w:rPr>
          <w:rFonts w:hint="eastAsia"/>
          <w:lang w:val="en-US" w:eastAsia="zh-CN"/>
        </w:rPr>
        <w:t>人员备份完成情况</w:t>
      </w:r>
      <w:bookmarkEnd w:id="11"/>
    </w:p>
    <w:p>
      <w:pPr>
        <w:pStyle w:val="3"/>
        <w:bidi w:val="0"/>
        <w:rPr>
          <w:rFonts w:hint="eastAsia"/>
          <w:lang w:val="en-US" w:eastAsia="zh-CN"/>
        </w:rPr>
      </w:pPr>
      <w:bookmarkStart w:id="12" w:name="_Toc4255"/>
      <w:r>
        <w:rPr>
          <w:rFonts w:hint="eastAsia"/>
          <w:lang w:val="en-US" w:eastAsia="zh-CN"/>
        </w:rPr>
        <w:t>人员备份详情</w:t>
      </w:r>
      <w:bookmarkEnd w:id="12"/>
    </w:p>
    <w:tbl>
      <w:tblPr>
        <w:tblStyle w:val="TableNormal"/>
        <w:tblW w:w="93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9"/>
        <w:gridCol w:w="1077"/>
        <w:gridCol w:w="1018"/>
        <w:gridCol w:w="3087"/>
        <w:gridCol w:w="1105"/>
        <w:gridCol w:w="807"/>
        <w:gridCol w:w="858"/>
        <w:gridCol w:w="858"/>
      </w:tblGrid>
      <w:tr>
        <w:tblPrEx>
          <w:tblW w:w="9379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56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0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备份岗位名称</w:t>
            </w:r>
          </w:p>
        </w:tc>
        <w:tc>
          <w:tcPr>
            <w:tcW w:w="101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308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主要工作内容</w:t>
            </w:r>
          </w:p>
        </w:tc>
        <w:tc>
          <w:tcPr>
            <w:tcW w:w="110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备份岗</w:t>
            </w:r>
          </w:p>
        </w:tc>
        <w:tc>
          <w:tcPr>
            <w:tcW w:w="80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备份人数</w:t>
            </w:r>
          </w:p>
        </w:tc>
        <w:tc>
          <w:tcPr>
            <w:tcW w:w="85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到岗时间</w:t>
            </w:r>
          </w:p>
        </w:tc>
        <w:tc>
          <w:tcPr>
            <w:tcW w:w="85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937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6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部门战略、服务交付、应急响应的总负责人。</w:t>
            </w:r>
          </w:p>
        </w:tc>
        <w:tc>
          <w:tcPr>
            <w:tcW w:w="1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937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6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单个运维项目全生命周期管理、客户关系及SLA达成的第一责任人。</w:t>
            </w:r>
          </w:p>
        </w:tc>
        <w:tc>
          <w:tcPr>
            <w:tcW w:w="1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937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6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研发战略、技术决策、架构治理及团队管理的负责人。</w:t>
            </w:r>
          </w:p>
        </w:tc>
        <w:tc>
          <w:tcPr>
            <w:tcW w:w="1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937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0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质量体系规划、内外部审核管理及重大质量事故处理的负责人。</w:t>
            </w:r>
          </w:p>
        </w:tc>
        <w:tc>
          <w:tcPr>
            <w:tcW w:w="11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8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>
      <w:pPr>
        <w:pStyle w:val="3"/>
        <w:bidi w:val="0"/>
        <w:rPr>
          <w:rFonts w:hint="default"/>
          <w:lang w:val="en-US" w:eastAsia="zh-CN"/>
        </w:rPr>
      </w:pPr>
      <w:bookmarkStart w:id="13" w:name="_Toc17564"/>
      <w:r>
        <w:rPr>
          <w:rFonts w:hint="eastAsia"/>
          <w:lang w:val="en-US" w:eastAsia="zh-CN"/>
        </w:rPr>
        <w:t>人员备份KPI完成情况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人员备份的考核指标是每季度备份计划达成率，计算方式为：实际备份人数/计划备份人数*100%。目标值是≥95%。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截止2025年12月，每季度均按时完成备份计划，备份计划达成率为100%。满足考核指标要求。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7128"/>
      <w:r>
        <w:rPr>
          <w:rFonts w:hint="eastAsia"/>
          <w:lang w:val="en-US" w:eastAsia="zh-CN"/>
        </w:rPr>
        <w:t>人员培训完成情况</w:t>
      </w:r>
      <w:bookmarkEnd w:id="14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11898"/>
      <w:r>
        <w:rPr>
          <w:rFonts w:hint="eastAsia"/>
          <w:lang w:val="en-US" w:eastAsia="zh-CN"/>
        </w:rPr>
        <w:t>人员培训情况详情</w:t>
      </w:r>
      <w:bookmarkEnd w:id="15"/>
    </w:p>
    <w:tbl>
      <w:tblPr>
        <w:tblStyle w:val="TableNormal"/>
        <w:tblW w:w="849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>
        <w:tblPrEx>
          <w:tblW w:w="849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6085"/>
      <w:r>
        <w:rPr>
          <w:rFonts w:hint="eastAsia"/>
          <w:lang w:val="en-US" w:eastAsia="zh-CN"/>
        </w:rPr>
        <w:t>人员培训KPI完成情况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人员培训的考核指标是每季度培训计划完成率，计算方式为：实际培训次数/应培训次数*100%。目标值是≥95%。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截止2025年12月，每季度均按时完成培训计划，培训计划达成率为100%。满足考核指标要求。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1166"/>
      <w:r>
        <w:rPr>
          <w:rFonts w:hint="eastAsia"/>
          <w:lang w:val="en-US" w:eastAsia="zh-CN"/>
        </w:rPr>
        <w:t>人员绩效考核完成情况</w:t>
      </w:r>
      <w:bookmarkEnd w:id="1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3811"/>
      <w:r>
        <w:rPr>
          <w:rFonts w:hint="eastAsia"/>
          <w:lang w:val="en-US" w:eastAsia="zh-CN"/>
        </w:rPr>
        <w:t>人员绩效考核详情</w:t>
      </w:r>
      <w:bookmarkEnd w:id="18"/>
    </w:p>
    <w:tbl>
      <w:tblPr>
        <w:tblStyle w:val="TableNormal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>
        <w:tblPrEx>
          <w:tblW w:w="8522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</w:t>
            </w:r>
            <w:r>
              <w:rPr>
                <w:rFonts w:hint="eastAsia"/>
                <w:sz w:val="15"/>
                <w:szCs w:val="15"/>
                <w:lang w:val="en-US" w:eastAsia="zh-CN"/>
              </w:rPr>
              <w:t>4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t>)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</w:t>
            </w:r>
            <w:r>
              <w:rPr>
                <w:rFonts w:hint="eastAsia"/>
                <w:sz w:val="15"/>
                <w:szCs w:val="15"/>
                <w:lang w:val="en-US" w:eastAsia="zh-CN"/>
              </w:rPr>
              <w:t>和四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t>季度的全部四个环节。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  <w:lang w:val="en-US" w:eastAsia="zh-CN"/>
              </w:rPr>
              <w:t>2025年四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t>季度数据已就绪，年度能力行为评价方案已</w:t>
            </w:r>
            <w:r>
              <w:rPr>
                <w:rFonts w:hint="eastAsia"/>
                <w:sz w:val="15"/>
                <w:szCs w:val="15"/>
                <w:lang w:val="en-US" w:eastAsia="zh-CN"/>
              </w:rPr>
              <w:t>完成</w:t>
            </w:r>
            <w:bookmarkStart w:id="19" w:name="_GoBack"/>
            <w:bookmarkEnd w:id="19"/>
            <w:r>
              <w:rPr>
                <w:rFonts w:hint="default"/>
                <w:sz w:val="15"/>
                <w:szCs w:val="15"/>
                <w:lang w:val="en-US" w:eastAsia="zh-CN"/>
              </w:rPr>
              <w:t>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按计划准备中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6601"/>
      <w:r>
        <w:rPr>
          <w:rFonts w:hint="eastAsia"/>
          <w:lang w:val="en-US" w:eastAsia="zh-CN"/>
        </w:rPr>
        <w:t>人员绩效考核KPI完成情况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人员绩效考核的考核指标是每季度绩效考核合格率，计算方式为：绩效考核合格人数/绩效考核总人数*100%。目标值是≥90%。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截止2025年12月，每季度对运维人员进行考核，所有人考核成绩均合格，绩效考核合格率为100%。满足考核指标要求。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4200"/>
      <w:r>
        <w:rPr>
          <w:rFonts w:hint="eastAsia"/>
          <w:lang w:val="en-US" w:eastAsia="zh-CN"/>
        </w:rPr>
        <w:t>人员技能评定完成情况</w:t>
      </w:r>
      <w:bookmarkEnd w:id="21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bookmark14"/>
      <w:bookmarkEnd w:id="22"/>
      <w:bookmarkStart w:id="23" w:name="_Toc3301"/>
      <w:r>
        <w:rPr>
          <w:rFonts w:hint="eastAsia"/>
          <w:lang w:val="en-US" w:eastAsia="zh-CN"/>
        </w:rPr>
        <w:t>人员技能评定详情</w:t>
      </w:r>
      <w:bookmarkEnd w:id="23"/>
    </w:p>
    <w:tbl>
      <w:tblPr>
        <w:tblStyle w:val="TableNormal"/>
        <w:tblW w:w="85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>
        <w:tblPrEx>
          <w:tblW w:w="850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9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评定关键环节</w:t>
            </w:r>
          </w:p>
        </w:tc>
        <w:tc>
          <w:tcPr>
            <w:tcW w:w="241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367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实际完成情况（截至1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月30日）</w:t>
            </w:r>
          </w:p>
        </w:tc>
        <w:tc>
          <w:tcPr>
            <w:tcW w:w="91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制度与标准建设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评定流程设计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年度评定启动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资格审查机制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审查标准与协同工作机制已在人力资源部与业务部门间明确。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评审组织保障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组建评审委员会。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评定方法确认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结果应用衔接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8962"/>
      <w:r>
        <w:rPr>
          <w:rFonts w:hint="eastAsia"/>
          <w:lang w:val="en-US" w:eastAsia="zh-CN"/>
        </w:rPr>
        <w:t>人员技能评定KPI完成情况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</w:t>
      </w:r>
      <w:r>
        <w:rPr>
          <w:rFonts w:ascii="宋体" w:eastAsia="宋体" w:hAnsi="宋体" w:cs="宋体" w:hint="eastAsia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实际进行技能评定的人数/应进行技能评定的人数*100%</w:t>
      </w:r>
      <w:r>
        <w:rPr>
          <w:rFonts w:hint="eastAsia"/>
          <w:lang w:val="en-US" w:eastAsia="zh-CN"/>
        </w:rPr>
        <w:t>。目标值是≥80%。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已经于12月初完成人员技能评定，所有人均参与评定。技能评定覆盖率达到100%，满足考核指标要求。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C7764DD"/>
    <w:multiLevelType w:val="singleLevel"/>
    <w:tmpl w:val="EC7764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2F5C425"/>
    <w:multiLevelType w:val="singleLevel"/>
    <w:tmpl w:val="52F5C42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1736</Words>
  <Characters>2109</Characters>
  <Application>Microsoft Office Word</Application>
  <DocSecurity>0</DocSecurity>
  <Lines>0</Lines>
  <Paragraphs>0</Paragraphs>
  <ScaleCrop>false</ScaleCrop>
  <Company/>
  <LinksUpToDate>false</LinksUpToDate>
  <CharactersWithSpaces>2195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2026-04-24T17:34:50Z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