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32542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-34290</wp:posOffset>
            </wp:positionH>
            <wp:positionV relativeFrom="paragraph">
              <wp:posOffset>-45085</wp:posOffset>
            </wp:positionV>
            <wp:extent cx="5304790" cy="8893810"/>
            <wp:effectExtent l="0" t="0" r="13970" b="6350"/>
            <wp:wrapNone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5591"/>
      <w:r>
        <w:rPr>
          <w:rFonts w:hint="eastAsia"/>
          <w:lang w:val="en-US" w:eastAsia="zh-CN"/>
        </w:rPr>
        <w:t>公安视频监控项目运维项目</w:t>
      </w:r>
      <w:r>
        <w:rPr>
          <w:rFonts w:hint="eastAsia"/>
          <w:lang w:val="en-US" w:eastAsia="zh-CN"/>
        </w:rPr>
        <w:br/>
      </w:r>
      <w:r>
        <w:rPr>
          <w:rFonts w:hint="eastAsia"/>
          <w:lang w:val="en-US" w:eastAsia="zh-CN"/>
        </w:rPr>
        <w:t>过程量化指标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default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6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13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2025.06.10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</w:t>
            </w:r>
            <w:bookmarkStart w:id="2" w:name="_GoBack"/>
            <w:bookmarkEnd w:id="2"/>
            <w:r>
              <w:rPr>
                <w:rFonts w:hint="eastAsia"/>
                <w:vertAlign w:val="baseline"/>
                <w:lang w:val="en-US" w:eastAsia="zh-CN"/>
              </w:rPr>
              <w:t>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2025.06.10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2025.06.10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z w:val="20"/>
                <w:szCs w:val="20"/>
                <w:lang w:val="en-US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06</w:t>
            </w: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eastAsia="宋体" w:hAnsi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强宇涛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陈凯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_Toc32542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_Toc32542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_Toc5591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公安视频监控项目运维项目 过程量化指标</w:t>
          </w:r>
          <w:r>
            <w:tab/>
          </w:r>
          <w:r>
            <w:fldChar w:fldCharType="begin"/>
          </w:r>
          <w:r>
            <w:instrText xml:space="preserve"> PAGEREF _Toc5591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sectPr>
          <w:headerReference w:type="default" r:id="rId7"/>
          <w:pgSz w:w="11906" w:h="16838"/>
          <w:pgMar w:top="1417" w:right="1800" w:bottom="1440" w:left="1800" w:header="1140" w:footer="992" w:gutter="0"/>
          <w:cols w:num="1" w:space="425"/>
          <w:docGrid w:type="lines" w:linePitch="312" w:charSpace="0"/>
        </w:sect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tbl>
      <w:tblPr>
        <w:tblStyle w:val="TableNormal"/>
        <w:tblW w:w="14197" w:type="dxa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38"/>
        <w:gridCol w:w="1270"/>
        <w:gridCol w:w="1270"/>
        <w:gridCol w:w="2113"/>
        <w:gridCol w:w="978"/>
        <w:gridCol w:w="5992"/>
        <w:gridCol w:w="850"/>
        <w:gridCol w:w="1086"/>
      </w:tblGrid>
      <w:tr>
        <w:tblPrEx>
          <w:tblW w:w="14197" w:type="dxa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850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12" w:space="0" w:color="auto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center"/>
              <w:rPr>
                <w:rFonts w:ascii="宋体" w:eastAsia="宋体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1"/>
                <w:szCs w:val="22"/>
                <w:u w:val="none"/>
                <w:lang w:val="en-US" w:eastAsia="zh-CN"/>
              </w:rPr>
            </w:pPr>
            <w:r>
              <w:rPr>
                <w:rFonts w:hint="eastAsia"/>
                <w:b/>
                <w:bCs/>
                <w:shd w:val="clear" w:color="auto" w:fill="auto"/>
                <w:lang w:val="en-US" w:eastAsia="zh-CN"/>
              </w:rPr>
              <w:t>公安视频监控项目运维项目-过程量化指标</w:t>
            </w:r>
          </w:p>
        </w:tc>
      </w:tr>
      <w:tr>
        <w:tblPrEx>
          <w:tblW w:w="14197" w:type="dxa"/>
          <w:jc w:val="center"/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tblHeader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21"/>
                <w:szCs w:val="22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2"/>
                <w:u w:val="none"/>
                <w:lang w:val="en-US" w:eastAsia="zh-CN"/>
              </w:rPr>
              <w:t>编号</w:t>
            </w:r>
          </w:p>
        </w:tc>
        <w:tc>
          <w:tcPr>
            <w:tcW w:w="127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center"/>
              <w:rPr>
                <w:rFonts w:ascii="宋体" w:eastAsia="宋体" w:hAnsi="宋体" w:cs="楷体_GB2312"/>
                <w:b/>
                <w:bCs/>
                <w:i w:val="0"/>
                <w:iCs w:val="0"/>
                <w:color w:val="000000"/>
                <w:sz w:val="21"/>
                <w:szCs w:val="22"/>
                <w:u w:val="none"/>
              </w:rPr>
            </w:pPr>
            <w:r>
              <w:rPr>
                <w:rFonts w:ascii="宋体" w:eastAsia="宋体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1"/>
                <w:szCs w:val="22"/>
                <w:u w:val="none"/>
                <w:lang w:val="en-US" w:eastAsia="zh-CN"/>
              </w:rPr>
              <w:t>名称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center"/>
              <w:rPr>
                <w:rFonts w:ascii="宋体" w:eastAsia="宋体" w:hAnsi="宋体" w:cs="楷体_GB2312" w:hint="default"/>
                <w:b/>
                <w:bCs/>
                <w:i w:val="0"/>
                <w:iCs w:val="0"/>
                <w:color w:val="000000"/>
                <w:sz w:val="21"/>
                <w:szCs w:val="22"/>
                <w:u w:val="none"/>
              </w:rPr>
            </w:pPr>
            <w:r>
              <w:rPr>
                <w:rFonts w:ascii="宋体" w:eastAsia="宋体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1"/>
                <w:szCs w:val="22"/>
                <w:u w:val="none"/>
                <w:lang w:val="en-US" w:eastAsia="zh-CN"/>
              </w:rPr>
              <w:t>KPI</w:t>
            </w:r>
          </w:p>
        </w:tc>
        <w:tc>
          <w:tcPr>
            <w:tcW w:w="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center"/>
              <w:rPr>
                <w:rFonts w:ascii="宋体" w:eastAsia="宋体" w:hAnsi="宋体" w:cs="楷体_GB2312" w:hint="default"/>
                <w:b/>
                <w:bCs/>
                <w:i w:val="0"/>
                <w:iCs w:val="0"/>
                <w:color w:val="000000"/>
                <w:sz w:val="21"/>
                <w:szCs w:val="22"/>
                <w:u w:val="none"/>
              </w:rPr>
            </w:pPr>
            <w:r>
              <w:rPr>
                <w:rFonts w:ascii="宋体" w:eastAsia="宋体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1"/>
                <w:szCs w:val="22"/>
                <w:u w:val="none"/>
                <w:lang w:val="en-US" w:eastAsia="zh-CN"/>
              </w:rPr>
              <w:t>目标值</w:t>
            </w:r>
          </w:p>
        </w:tc>
        <w:tc>
          <w:tcPr>
            <w:tcW w:w="5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center"/>
              <w:rPr>
                <w:rFonts w:ascii="宋体" w:eastAsia="宋体" w:hAnsi="宋体" w:cs="楷体_GB2312" w:hint="default"/>
                <w:b/>
                <w:bCs/>
                <w:i w:val="0"/>
                <w:iCs w:val="0"/>
                <w:color w:val="000000"/>
                <w:sz w:val="21"/>
                <w:szCs w:val="22"/>
                <w:u w:val="none"/>
              </w:rPr>
            </w:pPr>
            <w:r>
              <w:rPr>
                <w:rFonts w:ascii="宋体" w:eastAsia="宋体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1"/>
                <w:szCs w:val="22"/>
                <w:u w:val="none"/>
                <w:lang w:val="en-US" w:eastAsia="zh-CN"/>
              </w:rPr>
              <w:t>计算公式/方法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center"/>
              <w:rPr>
                <w:rFonts w:ascii="宋体" w:eastAsia="宋体" w:hAnsi="宋体" w:cs="楷体_GB2312" w:hint="default"/>
                <w:b/>
                <w:bCs/>
                <w:i w:val="0"/>
                <w:iCs w:val="0"/>
                <w:color w:val="000000"/>
                <w:sz w:val="21"/>
                <w:szCs w:val="22"/>
                <w:u w:val="none"/>
              </w:rPr>
            </w:pPr>
            <w:r>
              <w:rPr>
                <w:rFonts w:ascii="宋体" w:eastAsia="宋体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1"/>
                <w:szCs w:val="22"/>
                <w:u w:val="none"/>
                <w:lang w:val="en-US" w:eastAsia="zh-CN"/>
              </w:rPr>
              <w:t>频度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center"/>
              <w:rPr>
                <w:rFonts w:ascii="宋体" w:eastAsia="宋体" w:hAnsi="宋体" w:cs="楷体_GB2312" w:hint="default"/>
                <w:b/>
                <w:bCs/>
                <w:i w:val="0"/>
                <w:iCs w:val="0"/>
                <w:color w:val="000000"/>
                <w:sz w:val="21"/>
                <w:szCs w:val="22"/>
                <w:u w:val="none"/>
              </w:rPr>
            </w:pPr>
            <w:r>
              <w:rPr>
                <w:rFonts w:ascii="宋体" w:eastAsia="宋体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1"/>
                <w:szCs w:val="22"/>
                <w:u w:val="none"/>
                <w:lang w:val="en-US" w:eastAsia="zh-CN"/>
              </w:rPr>
              <w:t>责任部门</w:t>
            </w:r>
          </w:p>
        </w:tc>
      </w:tr>
      <w:tr>
        <w:tblPrEx>
          <w:tblW w:w="14197" w:type="dxa"/>
          <w:jc w:val="center"/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21"/>
                <w:szCs w:val="22"/>
                <w:u w:val="none"/>
              </w:rPr>
            </w:pPr>
            <w:r>
              <w:rPr>
                <w:rFonts w:ascii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2"/>
                <w:u w:val="none"/>
                <w:lang w:val="en-US" w:eastAsia="zh-CN"/>
              </w:rPr>
              <w:t>1</w:t>
            </w:r>
          </w:p>
        </w:tc>
        <w:tc>
          <w:tcPr>
            <w:tcW w:w="127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default"/>
                <w:i w:val="0"/>
                <w:iCs w:val="0"/>
                <w:color w:val="00000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ascii="宋体" w:hAnsi="宋体" w:cs="宋体" w:hint="eastAsia"/>
                <w:i w:val="0"/>
                <w:iCs w:val="0"/>
                <w:color w:val="000000"/>
                <w:sz w:val="21"/>
                <w:szCs w:val="21"/>
                <w:u w:val="none"/>
                <w:lang w:val="en-US" w:eastAsia="zh-CN"/>
              </w:rPr>
              <w:t>过程指标</w:t>
            </w:r>
          </w:p>
        </w:tc>
        <w:tc>
          <w:tcPr>
            <w:tcW w:w="12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服务级别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SLA达成率</w:t>
            </w:r>
          </w:p>
        </w:tc>
        <w:tc>
          <w:tcPr>
            <w:tcW w:w="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≥90%</w:t>
            </w:r>
          </w:p>
        </w:tc>
        <w:tc>
          <w:tcPr>
            <w:tcW w:w="5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达到服务级别要求的事件数/应达到服务级别要求的事件总数*100%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季度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运维部</w:t>
            </w:r>
          </w:p>
        </w:tc>
      </w:tr>
      <w:tr>
        <w:tblPrEx>
          <w:tblW w:w="14197" w:type="dxa"/>
          <w:jc w:val="center"/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21"/>
                <w:szCs w:val="22"/>
                <w:u w:val="none"/>
              </w:rPr>
            </w:pPr>
            <w:r>
              <w:rPr>
                <w:rFonts w:ascii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2"/>
                <w:u w:val="none"/>
                <w:lang w:val="en-US" w:eastAsia="zh-CN"/>
              </w:rPr>
              <w:t>2</w:t>
            </w:r>
          </w:p>
        </w:tc>
        <w:tc>
          <w:tcPr>
            <w:tcW w:w="127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21"/>
                <w:szCs w:val="21"/>
                <w:u w:val="none"/>
              </w:rPr>
            </w:pPr>
          </w:p>
        </w:tc>
        <w:tc>
          <w:tcPr>
            <w:tcW w:w="12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服务报告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服务报告交付及时率</w:t>
            </w:r>
          </w:p>
        </w:tc>
        <w:tc>
          <w:tcPr>
            <w:tcW w:w="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≥90%</w:t>
            </w:r>
          </w:p>
        </w:tc>
        <w:tc>
          <w:tcPr>
            <w:tcW w:w="5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（服务报告按时提交的数量/服务报告总数量）*100%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季度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运维部</w:t>
            </w:r>
          </w:p>
        </w:tc>
      </w:tr>
      <w:tr>
        <w:tblPrEx>
          <w:tblW w:w="14197" w:type="dxa"/>
          <w:jc w:val="center"/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21"/>
                <w:szCs w:val="22"/>
                <w:u w:val="none"/>
              </w:rPr>
            </w:pPr>
            <w:r>
              <w:rPr>
                <w:rFonts w:ascii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2"/>
                <w:u w:val="none"/>
                <w:lang w:val="en-US" w:eastAsia="zh-CN"/>
              </w:rPr>
              <w:t>3</w:t>
            </w:r>
          </w:p>
        </w:tc>
        <w:tc>
          <w:tcPr>
            <w:tcW w:w="127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21"/>
                <w:szCs w:val="21"/>
                <w:u w:val="none"/>
              </w:rPr>
            </w:pPr>
          </w:p>
        </w:tc>
        <w:tc>
          <w:tcPr>
            <w:tcW w:w="127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事件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事件解决率</w:t>
            </w:r>
          </w:p>
        </w:tc>
        <w:tc>
          <w:tcPr>
            <w:tcW w:w="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≥90%</w:t>
            </w:r>
          </w:p>
        </w:tc>
        <w:tc>
          <w:tcPr>
            <w:tcW w:w="5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成功解决事件数/已关闭事件总数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月度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运维部</w:t>
            </w:r>
          </w:p>
        </w:tc>
      </w:tr>
      <w:tr>
        <w:tblPrEx>
          <w:tblW w:w="14197" w:type="dxa"/>
          <w:jc w:val="center"/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21"/>
                <w:szCs w:val="22"/>
                <w:u w:val="none"/>
              </w:rPr>
            </w:pPr>
          </w:p>
        </w:tc>
        <w:tc>
          <w:tcPr>
            <w:tcW w:w="127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21"/>
                <w:szCs w:val="21"/>
                <w:u w:val="none"/>
              </w:rPr>
            </w:pPr>
          </w:p>
        </w:tc>
        <w:tc>
          <w:tcPr>
            <w:tcW w:w="127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事件解决用户满意度</w:t>
            </w:r>
          </w:p>
        </w:tc>
        <w:tc>
          <w:tcPr>
            <w:tcW w:w="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≥90%</w:t>
            </w:r>
          </w:p>
        </w:tc>
        <w:tc>
          <w:tcPr>
            <w:tcW w:w="5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（调查结果为满意、非常满意的用户数量/调查满意度用户总数）*100%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季度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运维部</w:t>
            </w:r>
          </w:p>
        </w:tc>
      </w:tr>
      <w:tr>
        <w:tblPrEx>
          <w:tblW w:w="14197" w:type="dxa"/>
          <w:jc w:val="center"/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center"/>
              <w:rPr>
                <w:rFonts w:ascii="宋体" w:eastAsia="宋体" w:hAnsi="宋体" w:cs="宋体" w:hint="default"/>
                <w:i w:val="0"/>
                <w:iCs w:val="0"/>
                <w:color w:val="000000"/>
                <w:sz w:val="21"/>
                <w:szCs w:val="22"/>
                <w:u w:val="none"/>
                <w:lang w:val="en-US"/>
              </w:rPr>
            </w:pPr>
            <w:r>
              <w:rPr>
                <w:rFonts w:ascii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2"/>
                <w:u w:val="none"/>
                <w:lang w:val="en-US" w:eastAsia="zh-CN"/>
              </w:rPr>
              <w:t>4</w:t>
            </w:r>
          </w:p>
        </w:tc>
        <w:tc>
          <w:tcPr>
            <w:tcW w:w="127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21"/>
                <w:szCs w:val="21"/>
                <w:u w:val="none"/>
              </w:rPr>
            </w:pPr>
          </w:p>
        </w:tc>
        <w:tc>
          <w:tcPr>
            <w:tcW w:w="127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问题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问题转知识的比率</w:t>
            </w:r>
          </w:p>
        </w:tc>
        <w:tc>
          <w:tcPr>
            <w:tcW w:w="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≥90%</w:t>
            </w:r>
          </w:p>
        </w:tc>
        <w:tc>
          <w:tcPr>
            <w:tcW w:w="5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问题转知识库的总数/已解决的问题总数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季度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运维部</w:t>
            </w:r>
          </w:p>
        </w:tc>
      </w:tr>
      <w:tr>
        <w:tblPrEx>
          <w:tblW w:w="14197" w:type="dxa"/>
          <w:jc w:val="center"/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center"/>
              <w:rPr>
                <w:rFonts w:ascii="宋体" w:eastAsia="宋体" w:hAnsi="宋体" w:cs="宋体" w:hint="default"/>
                <w:i w:val="0"/>
                <w:iCs w:val="0"/>
                <w:color w:val="000000"/>
                <w:sz w:val="21"/>
                <w:szCs w:val="22"/>
                <w:u w:val="none"/>
                <w:lang w:val="en-US"/>
              </w:rPr>
            </w:pPr>
          </w:p>
        </w:tc>
        <w:tc>
          <w:tcPr>
            <w:tcW w:w="127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21"/>
                <w:szCs w:val="21"/>
                <w:u w:val="none"/>
              </w:rPr>
            </w:pPr>
          </w:p>
        </w:tc>
        <w:tc>
          <w:tcPr>
            <w:tcW w:w="127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21"/>
                <w:szCs w:val="21"/>
                <w:u w:val="none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问题解决率</w:t>
            </w:r>
          </w:p>
        </w:tc>
        <w:tc>
          <w:tcPr>
            <w:tcW w:w="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≥90%</w:t>
            </w:r>
          </w:p>
        </w:tc>
        <w:tc>
          <w:tcPr>
            <w:tcW w:w="5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（已解决的问题数量/问题总数）*100%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季度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运维部</w:t>
            </w:r>
          </w:p>
        </w:tc>
      </w:tr>
      <w:tr>
        <w:tblPrEx>
          <w:tblW w:w="14197" w:type="dxa"/>
          <w:jc w:val="center"/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21"/>
                <w:szCs w:val="22"/>
                <w:u w:val="none"/>
                <w:lang w:val="en-US" w:eastAsia="zh-CN"/>
              </w:rPr>
            </w:pPr>
            <w:r>
              <w:rPr>
                <w:rFonts w:ascii="宋体" w:hAnsi="宋体" w:cs="宋体" w:hint="eastAsia"/>
                <w:i w:val="0"/>
                <w:iCs w:val="0"/>
                <w:color w:val="000000"/>
                <w:sz w:val="21"/>
                <w:szCs w:val="22"/>
                <w:u w:val="none"/>
                <w:lang w:val="en-US" w:eastAsia="zh-CN"/>
              </w:rPr>
              <w:t>5</w:t>
            </w:r>
          </w:p>
        </w:tc>
        <w:tc>
          <w:tcPr>
            <w:tcW w:w="127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21"/>
                <w:szCs w:val="21"/>
                <w:u w:val="none"/>
              </w:rPr>
            </w:pPr>
          </w:p>
        </w:tc>
        <w:tc>
          <w:tcPr>
            <w:tcW w:w="12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配置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配置数据的准确率</w:t>
            </w:r>
          </w:p>
        </w:tc>
        <w:tc>
          <w:tcPr>
            <w:tcW w:w="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≥95%</w:t>
            </w:r>
          </w:p>
        </w:tc>
        <w:tc>
          <w:tcPr>
            <w:tcW w:w="5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（配置数据匹配数/配置数据总数）*100%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半年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运维部</w:t>
            </w:r>
          </w:p>
        </w:tc>
      </w:tr>
      <w:tr>
        <w:tblPrEx>
          <w:tblW w:w="14197" w:type="dxa"/>
          <w:jc w:val="center"/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21"/>
                <w:szCs w:val="22"/>
                <w:u w:val="none"/>
                <w:lang w:val="en-US" w:eastAsia="zh-CN"/>
              </w:rPr>
            </w:pPr>
            <w:r>
              <w:rPr>
                <w:rFonts w:ascii="宋体" w:hAnsi="宋体" w:cs="宋体" w:hint="eastAsia"/>
                <w:i w:val="0"/>
                <w:iCs w:val="0"/>
                <w:color w:val="000000"/>
                <w:sz w:val="21"/>
                <w:szCs w:val="22"/>
                <w:u w:val="none"/>
                <w:lang w:val="en-US" w:eastAsia="zh-CN"/>
              </w:rPr>
              <w:t>6</w:t>
            </w:r>
          </w:p>
        </w:tc>
        <w:tc>
          <w:tcPr>
            <w:tcW w:w="127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21"/>
                <w:szCs w:val="21"/>
                <w:u w:val="none"/>
              </w:rPr>
            </w:pPr>
          </w:p>
        </w:tc>
        <w:tc>
          <w:tcPr>
            <w:tcW w:w="12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变更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变更成功率</w:t>
            </w:r>
          </w:p>
        </w:tc>
        <w:tc>
          <w:tcPr>
            <w:tcW w:w="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≥98%</w:t>
            </w:r>
          </w:p>
        </w:tc>
        <w:tc>
          <w:tcPr>
            <w:tcW w:w="5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（变更成功的数量/变更总数)*100%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月度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运维部</w:t>
            </w:r>
          </w:p>
        </w:tc>
      </w:tr>
      <w:tr>
        <w:tblPrEx>
          <w:tblW w:w="14197" w:type="dxa"/>
          <w:jc w:val="center"/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21"/>
                <w:szCs w:val="22"/>
                <w:u w:val="none"/>
                <w:lang w:val="en-US" w:eastAsia="zh-CN"/>
              </w:rPr>
            </w:pPr>
            <w:r>
              <w:rPr>
                <w:rFonts w:ascii="宋体" w:hAnsi="宋体" w:cs="宋体" w:hint="eastAsia"/>
                <w:i w:val="0"/>
                <w:iCs w:val="0"/>
                <w:color w:val="000000"/>
                <w:sz w:val="21"/>
                <w:szCs w:val="22"/>
                <w:u w:val="none"/>
                <w:lang w:val="en-US" w:eastAsia="zh-CN"/>
              </w:rPr>
              <w:t>7</w:t>
            </w:r>
          </w:p>
        </w:tc>
        <w:tc>
          <w:tcPr>
            <w:tcW w:w="127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21"/>
                <w:szCs w:val="21"/>
                <w:u w:val="none"/>
              </w:rPr>
            </w:pPr>
          </w:p>
        </w:tc>
        <w:tc>
          <w:tcPr>
            <w:tcW w:w="12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发布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发布成功率</w:t>
            </w:r>
          </w:p>
        </w:tc>
        <w:tc>
          <w:tcPr>
            <w:tcW w:w="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≥98%</w:t>
            </w:r>
          </w:p>
        </w:tc>
        <w:tc>
          <w:tcPr>
            <w:tcW w:w="5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（发布成功的数量/发布总数）*100%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月度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运维部</w:t>
            </w:r>
          </w:p>
        </w:tc>
      </w:tr>
      <w:tr>
        <w:tblPrEx>
          <w:tblW w:w="14197" w:type="dxa"/>
          <w:jc w:val="center"/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21"/>
                <w:szCs w:val="22"/>
                <w:u w:val="none"/>
              </w:rPr>
            </w:pPr>
            <w:r>
              <w:rPr>
                <w:rFonts w:ascii="宋体" w:hAnsi="宋体" w:cs="宋体" w:hint="eastAsia"/>
                <w:i w:val="0"/>
                <w:iCs w:val="0"/>
                <w:color w:val="000000"/>
                <w:sz w:val="21"/>
                <w:szCs w:val="22"/>
                <w:u w:val="none"/>
                <w:lang w:val="en-US" w:eastAsia="zh-CN"/>
              </w:rPr>
              <w:t>8</w:t>
            </w:r>
          </w:p>
        </w:tc>
        <w:tc>
          <w:tcPr>
            <w:tcW w:w="127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21"/>
                <w:szCs w:val="21"/>
                <w:u w:val="none"/>
              </w:rPr>
            </w:pPr>
          </w:p>
        </w:tc>
        <w:tc>
          <w:tcPr>
            <w:tcW w:w="127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服务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服务可用率</w:t>
            </w:r>
          </w:p>
        </w:tc>
        <w:tc>
          <w:tcPr>
            <w:tcW w:w="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≥90%</w:t>
            </w:r>
          </w:p>
        </w:tc>
        <w:tc>
          <w:tcPr>
            <w:tcW w:w="5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服务实际可用时间/服务计划可用时间*100%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月度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运维部</w:t>
            </w:r>
          </w:p>
        </w:tc>
      </w:tr>
      <w:tr>
        <w:tblPrEx>
          <w:tblW w:w="14197" w:type="dxa"/>
          <w:jc w:val="center"/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21"/>
                <w:szCs w:val="22"/>
                <w:u w:val="none"/>
              </w:rPr>
            </w:pPr>
          </w:p>
        </w:tc>
        <w:tc>
          <w:tcPr>
            <w:tcW w:w="127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21"/>
                <w:szCs w:val="21"/>
                <w:u w:val="none"/>
              </w:rPr>
            </w:pPr>
          </w:p>
        </w:tc>
        <w:tc>
          <w:tcPr>
            <w:tcW w:w="127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21"/>
                <w:szCs w:val="21"/>
                <w:u w:val="none"/>
              </w:rPr>
            </w:pP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服务故障中断次数</w:t>
            </w:r>
          </w:p>
        </w:tc>
        <w:tc>
          <w:tcPr>
            <w:tcW w:w="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≤1次</w:t>
            </w:r>
          </w:p>
        </w:tc>
        <w:tc>
          <w:tcPr>
            <w:tcW w:w="5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数量，因服务故障导致的服务中断次数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月度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运维部</w:t>
            </w:r>
          </w:p>
        </w:tc>
      </w:tr>
      <w:tr>
        <w:tblPrEx>
          <w:tblW w:w="14197" w:type="dxa"/>
          <w:jc w:val="center"/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21"/>
                <w:szCs w:val="22"/>
                <w:u w:val="none"/>
                <w:lang w:val="en-US" w:eastAsia="zh-CN"/>
              </w:rPr>
            </w:pPr>
            <w:r>
              <w:rPr>
                <w:rFonts w:ascii="宋体" w:hAnsi="宋体" w:cs="宋体" w:hint="eastAsia"/>
                <w:i w:val="0"/>
                <w:iCs w:val="0"/>
                <w:color w:val="000000"/>
                <w:sz w:val="21"/>
                <w:szCs w:val="22"/>
                <w:u w:val="none"/>
                <w:lang w:val="en-US" w:eastAsia="zh-CN"/>
              </w:rPr>
              <w:t>9</w:t>
            </w:r>
          </w:p>
        </w:tc>
        <w:tc>
          <w:tcPr>
            <w:tcW w:w="127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21"/>
                <w:szCs w:val="21"/>
                <w:u w:val="none"/>
              </w:rPr>
            </w:pPr>
          </w:p>
        </w:tc>
        <w:tc>
          <w:tcPr>
            <w:tcW w:w="12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容量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容量事件数</w:t>
            </w:r>
          </w:p>
        </w:tc>
        <w:tc>
          <w:tcPr>
            <w:tcW w:w="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≤1次</w:t>
            </w:r>
          </w:p>
        </w:tc>
        <w:tc>
          <w:tcPr>
            <w:tcW w:w="5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数量，因容量导致的事件次数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年度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运维部</w:t>
            </w:r>
          </w:p>
        </w:tc>
      </w:tr>
      <w:tr>
        <w:tblPrEx>
          <w:tblW w:w="14197" w:type="dxa"/>
          <w:jc w:val="center"/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/>
          <w:jc w:val="center"/>
        </w:trPr>
        <w:tc>
          <w:tcPr>
            <w:tcW w:w="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center"/>
              <w:rPr>
                <w:rFonts w:ascii="宋体" w:eastAsia="宋体" w:hAnsi="宋体" w:cs="宋体" w:hint="default"/>
                <w:i w:val="0"/>
                <w:iCs w:val="0"/>
                <w:color w:val="000000"/>
                <w:sz w:val="21"/>
                <w:szCs w:val="22"/>
                <w:u w:val="none"/>
                <w:lang w:val="en-US" w:eastAsia="zh-CN"/>
              </w:rPr>
            </w:pPr>
            <w:r>
              <w:rPr>
                <w:rFonts w:ascii="宋体" w:hAnsi="宋体" w:cs="宋体" w:hint="eastAsia"/>
                <w:i w:val="0"/>
                <w:iCs w:val="0"/>
                <w:color w:val="000000"/>
                <w:sz w:val="21"/>
                <w:szCs w:val="22"/>
                <w:u w:val="none"/>
                <w:lang w:val="en-US" w:eastAsia="zh-CN"/>
              </w:rPr>
              <w:t>10</w:t>
            </w:r>
          </w:p>
        </w:tc>
        <w:tc>
          <w:tcPr>
            <w:tcW w:w="127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snapToGrid w:val="0"/>
              <w:spacing w:line="240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21"/>
                <w:szCs w:val="21"/>
                <w:u w:val="none"/>
              </w:rPr>
            </w:pPr>
          </w:p>
        </w:tc>
        <w:tc>
          <w:tcPr>
            <w:tcW w:w="12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信息安全</w:t>
            </w:r>
          </w:p>
        </w:tc>
        <w:tc>
          <w:tcPr>
            <w:tcW w:w="21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信息安全事件数量</w:t>
            </w:r>
          </w:p>
        </w:tc>
        <w:tc>
          <w:tcPr>
            <w:tcW w:w="9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≤1次</w:t>
            </w:r>
          </w:p>
        </w:tc>
        <w:tc>
          <w:tcPr>
            <w:tcW w:w="5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我方人员造成信息安全事件的次数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年度</w:t>
            </w:r>
          </w:p>
        </w:tc>
        <w:tc>
          <w:tcPr>
            <w:tcW w:w="10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snapToGrid w:val="0"/>
              <w:spacing w:line="240" w:lineRule="auto"/>
              <w:ind w:left="0" w:right="0" w:firstLine="0" w:leftChars="0" w:rightChars="0" w:firstLineChars="0"/>
              <w:jc w:val="center"/>
              <w:textAlignment w:val="center"/>
              <w:rPr>
                <w:rFonts w:ascii="宋体" w:eastAsia="宋体" w:hAnsi="宋体" w:cs="宋体" w:hint="eastAsia"/>
                <w:i w:val="0"/>
                <w:iCs w:val="0"/>
                <w:color w:val="000000"/>
                <w:sz w:val="21"/>
                <w:szCs w:val="21"/>
                <w:u w:val="none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运维部</w:t>
            </w:r>
          </w:p>
        </w:tc>
      </w:tr>
    </w:tbl>
    <w:p>
      <w:pPr>
        <w:pStyle w:val="a1"/>
        <w:ind w:left="0" w:right="0" w:firstLine="0" w:leftChars="0" w:rightChars="0" w:firstLineChars="0"/>
        <w:jc w:val="both"/>
        <w:rPr>
          <w:rFonts w:hint="default"/>
          <w:vertAlign w:val="baseline"/>
          <w:lang w:val="en-US" w:eastAsia="zh-CN"/>
        </w:rPr>
      </w:pPr>
    </w:p>
    <w:sectPr>
      <w:pgSz w:w="16838" w:h="11906" w:orient="landscape"/>
      <w:pgMar w:top="1800" w:right="1417" w:bottom="1800" w:left="144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header" Target="header1.xml" /><Relationship Id="rId8" Type="http://schemas.openxmlformats.org/officeDocument/2006/relationships/theme" Target="theme/theme1.xml" /><Relationship Id="rId9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634</Words>
  <Characters>747</Characters>
  <Application>Microsoft Office Word</Application>
  <DocSecurity>0</DocSecurity>
  <Lines>0</Lines>
  <Paragraphs>0</Paragraphs>
  <ScaleCrop>false</ScaleCrop>
  <Company/>
  <LinksUpToDate>false</LinksUpToDate>
  <CharactersWithSpaces>754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2026-04-24T17:48:56Z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