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3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2346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服务可用性和连续性报告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_Toc739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服务可用性和连续性报告</w:t>
          </w:r>
          <w:r>
            <w:tab/>
          </w:r>
          <w:r>
            <w:fldChar w:fldCharType="begin"/>
          </w:r>
          <w:r>
            <w:instrText xml:space="preserve"> PAGEREF _Toc22346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报告说明</w:t>
          </w:r>
          <w:r>
            <w:tab/>
          </w:r>
          <w:r>
            <w:fldChar w:fldCharType="begin"/>
          </w:r>
          <w:r>
            <w:instrText xml:space="preserve"> PAGEREF _Toc29345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全年在线率统计</w:t>
          </w:r>
          <w:r>
            <w:tab/>
          </w:r>
          <w:r>
            <w:fldChar w:fldCharType="begin"/>
          </w:r>
          <w:r>
            <w:instrText xml:space="preserve"> PAGEREF _Toc7144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各风险应对措施执行情况及故障记录</w:t>
          </w:r>
          <w:r>
            <w:tab/>
          </w:r>
          <w:r>
            <w:fldChar w:fldCharType="begin"/>
          </w:r>
          <w:r>
            <w:instrText xml:space="preserve"> PAGEREF _Toc8034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供电中断</w:t>
          </w:r>
          <w:r>
            <w:tab/>
          </w:r>
          <w:r>
            <w:fldChar w:fldCharType="begin"/>
          </w:r>
          <w:r>
            <w:instrText xml:space="preserve"> PAGEREF _Toc883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光缆中断</w:t>
          </w:r>
          <w:r>
            <w:tab/>
          </w:r>
          <w:r>
            <w:fldChar w:fldCharType="begin"/>
          </w:r>
          <w:r>
            <w:instrText xml:space="preserve"> PAGEREF _Toc1650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设备故障</w:t>
          </w:r>
          <w:r>
            <w:tab/>
          </w:r>
          <w:r>
            <w:fldChar w:fldCharType="begin"/>
          </w:r>
          <w:r>
            <w:instrText xml:space="preserve"> PAGEREF _Toc16331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极端天气</w:t>
          </w:r>
          <w:r>
            <w:tab/>
          </w:r>
          <w:r>
            <w:fldChar w:fldCharType="begin"/>
          </w:r>
          <w:r>
            <w:instrText xml:space="preserve"> PAGEREF _Toc7406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人员缺席</w:t>
          </w:r>
          <w:r>
            <w:tab/>
          </w:r>
          <w:r>
            <w:fldChar w:fldCharType="begin"/>
          </w:r>
          <w:r>
            <w:instrText xml:space="preserve"> PAGEREF _Toc14703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平台故障</w:t>
          </w:r>
          <w:r>
            <w:tab/>
          </w:r>
          <w:r>
            <w:fldChar w:fldCharType="begin"/>
          </w:r>
          <w:r>
            <w:instrText xml:space="preserve"> PAGEREF _Toc6627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应急响应与灾难恢复执行情况</w:t>
          </w:r>
          <w:r>
            <w:tab/>
          </w:r>
          <w:r>
            <w:fldChar w:fldCharType="begin"/>
          </w:r>
          <w:r>
            <w:instrText xml:space="preserve"> PAGEREF _Toc8597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应急响应触发</w:t>
          </w:r>
          <w:r>
            <w:tab/>
          </w:r>
          <w:r>
            <w:fldChar w:fldCharType="begin"/>
          </w:r>
          <w:r>
            <w:instrText xml:space="preserve"> PAGEREF _Toc28292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灾难恢复措施执行</w:t>
          </w:r>
          <w:r>
            <w:tab/>
          </w:r>
          <w:r>
            <w:fldChar w:fldCharType="begin"/>
          </w:r>
          <w:r>
            <w:instrText xml:space="preserve"> PAGEREF _Toc32277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演练与改进执行情况</w:t>
          </w:r>
          <w:r>
            <w:tab/>
          </w:r>
          <w:r>
            <w:fldChar w:fldCharType="begin"/>
          </w:r>
          <w:r>
            <w:instrText xml:space="preserve"> PAGEREF _Toc17656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备件与保障资源状态</w:t>
          </w:r>
          <w:r>
            <w:tab/>
          </w:r>
          <w:r>
            <w:fldChar w:fldCharType="begin"/>
          </w:r>
          <w:r>
            <w:instrText xml:space="preserve"> PAGEREF _Toc17792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改进建议</w:t>
          </w:r>
          <w:r>
            <w:tab/>
          </w:r>
          <w:r>
            <w:fldChar w:fldCharType="begin"/>
          </w:r>
          <w:r>
            <w:instrText xml:space="preserve"> PAGEREF _Toc25218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_Toc5405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结论</w:t>
          </w:r>
          <w:r>
            <w:tab/>
          </w:r>
          <w:r>
            <w:fldChar w:fldCharType="begin"/>
          </w:r>
          <w:r>
            <w:instrText xml:space="preserve"> PAGEREF _Toc5405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9345"/>
      <w:r>
        <w:rPr>
          <w:rFonts w:hint="default"/>
          <w:lang w:val="en-US" w:eastAsia="zh-CN"/>
        </w:rPr>
        <w:t>报告说明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本报告依据《公安视频监控项目运维项目 服务可用性和连续性计划》，为本运维周期（2025年6月至2026年5月）的阶段总结，覆盖2025年6月1日至12月31日。报告提交甲方科信部门指定接口人。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7144"/>
      <w:r>
        <w:rPr>
          <w:rFonts w:hint="default"/>
          <w:lang w:val="en-US" w:eastAsia="zh-CN"/>
        </w:rPr>
        <w:t>全年在线率统计</w:t>
      </w:r>
      <w:bookmarkEnd w:id="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2"/>
        <w:gridCol w:w="5843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65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584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数值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6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统计周期</w:t>
            </w:r>
          </w:p>
        </w:tc>
        <w:tc>
          <w:tcPr>
            <w:tcW w:w="58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 — 2025年12月（共7个月）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6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服务计划可用总时间（小时）</w:t>
            </w:r>
          </w:p>
        </w:tc>
        <w:tc>
          <w:tcPr>
            <w:tcW w:w="58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5040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6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服务实际可用总时间（小时）</w:t>
            </w:r>
          </w:p>
        </w:tc>
        <w:tc>
          <w:tcPr>
            <w:tcW w:w="58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5040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6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整体在线率</w:t>
            </w:r>
          </w:p>
        </w:tc>
        <w:tc>
          <w:tcPr>
            <w:tcW w:w="584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</w:tr>
      <w:tr>
        <w:tblPrEx>
          <w:tblW w:w="8495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合同可用率目标（≥9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%）</w:t>
            </w:r>
          </w:p>
        </w:tc>
        <w:tc>
          <w:tcPr>
            <w:tcW w:w="58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在线率统计已按计划规定，剔除经甲方确认的非乙方责任原因导致的离线（供电部门停电、通信运营商网络中断、市政施工破坏）。本期无剔除时长。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8034"/>
      <w:r>
        <w:rPr>
          <w:rFonts w:hint="default"/>
          <w:lang w:val="en-US" w:eastAsia="zh-CN"/>
        </w:rPr>
        <w:t>各风险应对措施执行情况及故障记录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按计划第4章“风险应对”所列六类风险，逐项说明如下：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883"/>
      <w:r>
        <w:rPr>
          <w:rFonts w:hint="default"/>
          <w:lang w:val="en-US" w:eastAsia="zh-CN"/>
        </w:rPr>
        <w:t>供电中断</w:t>
      </w:r>
      <w:bookmarkEnd w:id="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5"/>
        <w:gridCol w:w="7070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70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70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重点点位协调不同取电路径，与供电部门保持信息同步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  <w:tc>
          <w:tcPr>
            <w:tcW w:w="70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每月提前获取停电安排，重点点位未受单路停电影响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实际故障</w:t>
            </w:r>
          </w:p>
        </w:tc>
        <w:tc>
          <w:tcPr>
            <w:tcW w:w="70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发生0次因供电中断导致的离线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恢复情况</w:t>
            </w:r>
          </w:p>
        </w:tc>
        <w:tc>
          <w:tcPr>
            <w:tcW w:w="70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未发生供电中断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6" w:name="_Toc1650"/>
      <w:r>
        <w:rPr>
          <w:rFonts w:hint="default"/>
          <w:lang w:val="en-US" w:eastAsia="zh-CN"/>
        </w:rPr>
        <w:t>光缆中断</w:t>
      </w:r>
      <w:bookmarkEnd w:id="6"/>
    </w:p>
    <w:p>
      <w:pPr>
        <w:pStyle w:val="a1"/>
        <w:rPr>
          <w:rFonts w:hint="default"/>
          <w:lang w:val="en-US" w:eastAsia="zh-CN"/>
        </w:rPr>
      </w:pP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4"/>
        <w:gridCol w:w="691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691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69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48小时熔接恢复能力，核心点位预埋备用纤芯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  <w:tc>
          <w:tcPr>
            <w:tcW w:w="69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完成核心点位备用纤芯预埋，每月导通测试正常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实际故障</w:t>
            </w:r>
          </w:p>
        </w:tc>
        <w:tc>
          <w:tcPr>
            <w:tcW w:w="69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发生0次光缆中断（含市政施工、外力破坏）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恢复情况</w:t>
            </w:r>
          </w:p>
        </w:tc>
        <w:tc>
          <w:tcPr>
            <w:tcW w:w="69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未发生光缆中断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7" w:name="_Toc16331"/>
      <w:r>
        <w:rPr>
          <w:rFonts w:hint="default"/>
          <w:lang w:val="en-US" w:eastAsia="zh-CN"/>
        </w:rPr>
        <w:t>设备故障</w:t>
      </w:r>
      <w:bookmarkEnd w:id="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8"/>
        <w:gridCol w:w="753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75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现场携带备机直接更换，故障设备返厂维修后重新入库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周转备机每周盘点，型号齐全；现场抢修组随车携带摄像机、电源适配器、光纤收发器、交换机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实际故障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发生0次设备故障导致的离线（巡检中提前更换老化设备3台，未影响在线率）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恢复情况</w:t>
            </w:r>
          </w:p>
        </w:tc>
        <w:tc>
          <w:tcPr>
            <w:tcW w:w="75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未发生设备故障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8" w:name="_Toc7406"/>
      <w:r>
        <w:rPr>
          <w:rFonts w:hint="default"/>
          <w:lang w:val="en-US" w:eastAsia="zh-CN"/>
        </w:rPr>
        <w:t>极端天气</w:t>
      </w:r>
      <w:bookmarkEnd w:id="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8"/>
        <w:gridCol w:w="750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750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75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极端天气前一日加固重点区域设备，检查挂箱密封性和立杆基础；结束后24小时内全面巡检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  <w:tc>
          <w:tcPr>
            <w:tcW w:w="75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台风季前完成3次预防性加固，天气结束后均完成24小时内巡检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实际故障</w:t>
            </w:r>
          </w:p>
        </w:tc>
        <w:tc>
          <w:tcPr>
            <w:tcW w:w="75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发生0次因极端天气导致的离线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恢复情况</w:t>
            </w:r>
          </w:p>
        </w:tc>
        <w:tc>
          <w:tcPr>
            <w:tcW w:w="75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未造成服务中断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9" w:name="_Toc14703"/>
      <w:r>
        <w:rPr>
          <w:rFonts w:hint="default"/>
          <w:lang w:val="en-US" w:eastAsia="zh-CN"/>
        </w:rPr>
        <w:t>人员缺席</w:t>
      </w:r>
      <w:bookmarkEnd w:id="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9"/>
        <w:gridCol w:w="7486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748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74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主备岗机制，每名人员至少掌握两种以上品牌设备调试方法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  <w:tc>
          <w:tcPr>
            <w:tcW w:w="74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项目负责人主备岗正常；值班长轮班制全天候在岗；现场抢修组主组3人、备份组2人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实际故障</w:t>
            </w:r>
          </w:p>
        </w:tc>
        <w:tc>
          <w:tcPr>
            <w:tcW w:w="748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发生0次因人员缺席导致的响应延迟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恢复情况</w:t>
            </w:r>
          </w:p>
        </w:tc>
        <w:tc>
          <w:tcPr>
            <w:tcW w:w="74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未发生人员缺席情况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6627"/>
      <w:r>
        <w:rPr>
          <w:rFonts w:hint="default"/>
          <w:lang w:val="en-US" w:eastAsia="zh-CN"/>
        </w:rPr>
        <w:t>平台故障</w:t>
      </w:r>
      <w:bookmarkEnd w:id="1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3"/>
        <w:gridCol w:w="739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739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739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热备节点自动接管，每日检查存储状态，设置容量告警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  <w:tc>
          <w:tcPr>
            <w:tcW w:w="739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后端平台服务器、CVR存储热备每日自动检测，状态正常；容量告警未触发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实际故障</w:t>
            </w:r>
          </w:p>
        </w:tc>
        <w:tc>
          <w:tcPr>
            <w:tcW w:w="739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发生0次平台故障（热备切换演练正常，见第6章）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0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恢复情况</w:t>
            </w:r>
          </w:p>
        </w:tc>
        <w:tc>
          <w:tcPr>
            <w:tcW w:w="73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平台运行稳定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1" w:name="_Toc8597"/>
      <w:r>
        <w:rPr>
          <w:rFonts w:hint="default"/>
          <w:lang w:val="en-US" w:eastAsia="zh-CN"/>
        </w:rPr>
        <w:t>应急响应与灾难恢复执行情况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8292"/>
      <w:r>
        <w:rPr>
          <w:rFonts w:hint="default"/>
          <w:lang w:val="en-US" w:eastAsia="zh-CN"/>
        </w:rPr>
        <w:t>应急响应触发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按计划第5章，一级故障（核心区域监控离线或存储丢失）自动触发应急指挥部。本期未发生一级故障，应急体系保持待命。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32277"/>
      <w:r>
        <w:rPr>
          <w:rFonts w:hint="default"/>
          <w:lang w:val="en-US" w:eastAsia="zh-CN"/>
        </w:rPr>
        <w:t>灾难恢复措施执行</w:t>
      </w:r>
      <w:bookmarkEnd w:id="1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2"/>
        <w:gridCol w:w="3418"/>
        <w:gridCol w:w="338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9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场景</w:t>
            </w:r>
          </w:p>
        </w:tc>
        <w:tc>
          <w:tcPr>
            <w:tcW w:w="34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计划措施</w:t>
            </w:r>
          </w:p>
        </w:tc>
        <w:tc>
          <w:tcPr>
            <w:tcW w:w="33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主办公场所不可用</w:t>
            </w:r>
          </w:p>
        </w:tc>
        <w:tc>
          <w:tcPr>
            <w:tcW w:w="34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远程办公，关键人员通过安全通道访问平台</w:t>
            </w:r>
          </w:p>
        </w:tc>
        <w:tc>
          <w:tcPr>
            <w:tcW w:w="3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未触发，但远程访问通道每月测试一次正常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区域性大范围停电</w:t>
            </w:r>
          </w:p>
        </w:tc>
        <w:tc>
          <w:tcPr>
            <w:tcW w:w="34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协调应急发电设备临时供电</w:t>
            </w:r>
          </w:p>
        </w:tc>
        <w:tc>
          <w:tcPr>
            <w:tcW w:w="3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未触发，应急发电设备可用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光缆大面积中断</w:t>
            </w:r>
          </w:p>
        </w:tc>
        <w:tc>
          <w:tcPr>
            <w:tcW w:w="34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调用备份光缆资源，每两小时通报</w:t>
            </w:r>
          </w:p>
        </w:tc>
        <w:tc>
          <w:tcPr>
            <w:tcW w:w="3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未触发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极端天气后恢复</w:t>
            </w:r>
          </w:p>
        </w:tc>
        <w:tc>
          <w:tcPr>
            <w:tcW w:w="34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24小时内全面巡检</w:t>
            </w:r>
          </w:p>
        </w:tc>
        <w:tc>
          <w:tcPr>
            <w:tcW w:w="33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已按计划执行3次（台风、暴雨后）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4" w:name="_Toc17656"/>
      <w:r>
        <w:rPr>
          <w:rFonts w:hint="default"/>
          <w:lang w:val="en-US" w:eastAsia="zh-CN"/>
        </w:rPr>
        <w:t>演练与改进执行情况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按计划第7章“演练与改进”要求：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1"/>
        <w:gridCol w:w="1245"/>
        <w:gridCol w:w="590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演练类型</w:t>
            </w:r>
          </w:p>
        </w:tc>
        <w:tc>
          <w:tcPr>
            <w:tcW w:w="12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59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本期执行情况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一级故障演练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每年至少1次</w:t>
            </w:r>
          </w:p>
        </w:tc>
        <w:tc>
          <w:tcPr>
            <w:tcW w:w="59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2025年9月15日完成，模拟核心区域光缆中断，应急响应、沟通联络、恢复流程验证通过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每年至少1次</w:t>
            </w:r>
          </w:p>
        </w:tc>
        <w:tc>
          <w:tcPr>
            <w:tcW w:w="59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2025年9月15日与一级故障演练合并执行，全流程检验响应速度和工具可靠性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热备切换演练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每季度1次</w:t>
            </w:r>
          </w:p>
        </w:tc>
        <w:tc>
          <w:tcPr>
            <w:tcW w:w="59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已完成3次（2025年6月、9月、12月），验证平台及CVR热备自动接管正常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演练结果摘要：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一级故障演练中，从故障触发到核心区域恢复（切换备用纤芯）用时28分钟，优于计划要求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热备切换演练中，主设备故障后热备节点自动接管，录像存储和图像调阅未中断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以上演练总结报告已按计划第8章要求提交甲方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17792"/>
      <w:r>
        <w:rPr>
          <w:rFonts w:hint="default"/>
          <w:lang w:val="en-US" w:eastAsia="zh-CN"/>
        </w:rPr>
        <w:t>备件与保障资源状态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按计划第3章“保障体系”：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4"/>
        <w:gridCol w:w="4892"/>
        <w:gridCol w:w="222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7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48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222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期末状态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（2025年12月31日）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周转备机</w:t>
            </w:r>
          </w:p>
        </w:tc>
        <w:tc>
          <w:tcPr>
            <w:tcW w:w="4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≥5%总数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充足，型号齐全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后端热备</w:t>
            </w:r>
          </w:p>
        </w:tc>
        <w:tc>
          <w:tcPr>
            <w:tcW w:w="4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平台服务器、CVR热备，每日自动检测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移动布控球（2台）</w:t>
            </w:r>
          </w:p>
        </w:tc>
        <w:tc>
          <w:tcPr>
            <w:tcW w:w="48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每月充电测试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已测试，可用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7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抢修车辆随车工具</w:t>
            </w:r>
          </w:p>
        </w:tc>
        <w:tc>
          <w:tcPr>
            <w:tcW w:w="48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光纤功率计、万用表、工程宝、笔记本电脑、接头、尾纤、防水胶带，每周检查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齐全，正常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6" w:name="_Toc25218"/>
      <w:r>
        <w:rPr>
          <w:rFonts w:hint="default"/>
          <w:lang w:val="en-US" w:eastAsia="zh-CN"/>
        </w:rPr>
        <w:t>改进建议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基于本期执行情况，提出以下改进：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在2026年1月计划年度评审中，结合本期演练反馈，进一步优化备用纤芯切换流程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考虑在一般区域逐步推广备用纤芯预埋，降低潜在光缆中断风险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增加极端天气后的巡检自动化手段，提升巡检效率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5405"/>
      <w:r>
        <w:rPr>
          <w:rFonts w:hint="default"/>
          <w:lang w:val="en-US" w:eastAsia="zh-CN"/>
        </w:rPr>
        <w:t>结论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本运维周期（2025年6月至12月）整体在线率100%，达到并超过合同要求的≥9</w:t>
      </w:r>
      <w:r>
        <w:rPr>
          <w:rFonts w:hint="eastAsia"/>
          <w:lang w:val="en-US" w:eastAsia="zh-CN"/>
        </w:rPr>
        <w:t>8</w:t>
      </w:r>
      <w:bookmarkStart w:id="18" w:name="_GoBack"/>
      <w:bookmarkEnd w:id="18"/>
      <w:r>
        <w:rPr>
          <w:rFonts w:hint="default"/>
          <w:lang w:val="en-US" w:eastAsia="zh-CN"/>
        </w:rPr>
        <w:t>%目标。按计划所列六类风险均未造成服务中断，应急响应、灾难恢复及演练改进措施均按计划执行。服务可用性和连续性保障体系运行有效。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954</Words>
  <Characters>1074</Characters>
  <Application>Microsoft Office Word</Application>
  <DocSecurity>0</DocSecurity>
  <Lines>0</Lines>
  <Paragraphs>0</Paragraphs>
  <ScaleCrop>false</ScaleCrop>
  <Company/>
  <LinksUpToDate>false</LinksUpToDate>
  <CharactersWithSpaces>1148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