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0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786"/>
      <w:r>
        <w:rPr>
          <w:rFonts w:hint="eastAsia"/>
          <w:lang w:val="en-US" w:eastAsia="zh-CN"/>
        </w:rPr>
        <w:t>硬盘与Redis容量管理报告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_Toc1103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硬盘与Redis容量管理报告</w:t>
          </w:r>
          <w:r>
            <w:tab/>
          </w:r>
          <w:r>
            <w:fldChar w:fldCharType="begin"/>
          </w:r>
          <w:r>
            <w:instrText xml:space="preserve"> PAGEREF _Toc16786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扩容工程概述</w:t>
          </w:r>
          <w:r>
            <w:tab/>
          </w:r>
          <w:r>
            <w:fldChar w:fldCharType="begin"/>
          </w:r>
          <w:r>
            <w:instrText xml:space="preserve"> PAGEREF _Toc30945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扩容目标完成情况</w:t>
          </w:r>
          <w:r>
            <w:tab/>
          </w:r>
          <w:r>
            <w:fldChar w:fldCharType="begin"/>
          </w:r>
          <w:r>
            <w:instrText xml:space="preserve"> PAGEREF _Toc1950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详细实施成果</w:t>
          </w:r>
          <w:r>
            <w:tab/>
          </w:r>
          <w:r>
            <w:fldChar w:fldCharType="begin"/>
          </w:r>
          <w:r>
            <w:instrText xml:space="preserve"> PAGEREF _Toc30621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第一阶段：紧急扩容（</w:t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hint="default"/>
              <w:lang w:val="en-US" w:eastAsia="zh-CN"/>
            </w:rPr>
            <w:t>月-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default"/>
              <w:lang w:val="en-US" w:eastAsia="zh-CN"/>
            </w:rPr>
            <w:t>月）</w:t>
          </w:r>
          <w:r>
            <w:tab/>
          </w:r>
          <w:r>
            <w:fldChar w:fldCharType="begin"/>
          </w:r>
          <w:r>
            <w:instrText xml:space="preserve"> PAGEREF _Toc25712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第二阶段：架构优化（</w:t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default"/>
              <w:lang w:val="en-US" w:eastAsia="zh-CN"/>
            </w:rPr>
            <w:t>月-</w:t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default"/>
              <w:lang w:val="en-US" w:eastAsia="zh-CN"/>
            </w:rPr>
            <w:t>月）</w:t>
          </w:r>
          <w:r>
            <w:tab/>
          </w:r>
          <w:r>
            <w:fldChar w:fldCharType="begin"/>
          </w:r>
          <w:r>
            <w:instrText xml:space="preserve"> PAGEREF _Toc29497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第三阶段：全面升级与收尾（</w:t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default"/>
              <w:lang w:val="en-US" w:eastAsia="zh-CN"/>
            </w:rPr>
            <w:t>月-</w:t>
          </w:r>
          <w:r>
            <w:rPr>
              <w:rFonts w:hint="eastAsia"/>
              <w:lang w:val="en-US" w:eastAsia="zh-CN"/>
            </w:rPr>
            <w:t>12</w:t>
          </w:r>
          <w:r>
            <w:rPr>
              <w:rFonts w:hint="default"/>
              <w:lang w:val="en-US" w:eastAsia="zh-CN"/>
            </w:rPr>
            <w:t>月）</w:t>
          </w:r>
          <w:r>
            <w:tab/>
          </w:r>
          <w:r>
            <w:fldChar w:fldCharType="begin"/>
          </w:r>
          <w:r>
            <w:instrText xml:space="preserve"> PAGEREF _Toc25606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性能与效益分析</w:t>
          </w:r>
          <w:r>
            <w:tab/>
          </w:r>
          <w:r>
            <w:fldChar w:fldCharType="begin"/>
          </w:r>
          <w:r>
            <w:instrText xml:space="preserve"> PAGEREF _Toc9045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性能提升</w:t>
          </w:r>
          <w:r>
            <w:tab/>
          </w:r>
          <w:r>
            <w:fldChar w:fldCharType="begin"/>
          </w:r>
          <w:r>
            <w:instrText xml:space="preserve"> PAGEREF _Toc13491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成本效益</w:t>
          </w:r>
          <w:r>
            <w:tab/>
          </w:r>
          <w:r>
            <w:fldChar w:fldCharType="begin"/>
          </w:r>
          <w:r>
            <w:instrText xml:space="preserve"> PAGEREF _Toc17763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运维效能改进</w:t>
          </w:r>
          <w:r>
            <w:tab/>
          </w:r>
          <w:r>
            <w:fldChar w:fldCharType="begin"/>
          </w:r>
          <w:r>
            <w:instrText xml:space="preserve"> PAGEREF _Toc27880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经验总结与后续建议</w:t>
          </w:r>
          <w:r>
            <w:tab/>
          </w:r>
          <w:r>
            <w:fldChar w:fldCharType="begin"/>
          </w:r>
          <w:r>
            <w:instrText xml:space="preserve"> PAGEREF _Toc12749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主要经验</w:t>
          </w:r>
          <w:r>
            <w:tab/>
          </w:r>
          <w:r>
            <w:fldChar w:fldCharType="begin"/>
          </w:r>
          <w:r>
            <w:instrText xml:space="preserve"> PAGEREF _Toc6196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后续建议</w:t>
          </w:r>
          <w:r>
            <w:tab/>
          </w:r>
          <w:r>
            <w:fldChar w:fldCharType="begin"/>
          </w:r>
          <w:r>
            <w:instrText xml:space="preserve"> PAGEREF _Toc20330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结论</w:t>
          </w:r>
          <w:r>
            <w:tab/>
          </w:r>
          <w:r>
            <w:fldChar w:fldCharType="begin"/>
          </w:r>
          <w:r>
            <w:instrText xml:space="preserve"> PAGEREF _Toc3444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0945"/>
      <w:r>
        <w:rPr>
          <w:rFonts w:hint="default"/>
          <w:lang w:val="en-US" w:eastAsia="zh-CN"/>
        </w:rPr>
        <w:t>扩容工程概述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为有效支撑公司运维业务的高速增长，保障核心服务平台的稳定运行，根据《核心数据基础设施专项扩容方案》，公司于202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年第二季度起，分阶段对硬盘存储、数据库、Redis缓存集群及应用服务器内存进行了系统性扩容。本报告旨在总结本次扩容工程的实施情况、达成效果及后续运维要点。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950"/>
      <w:r>
        <w:rPr>
          <w:rFonts w:hint="default"/>
          <w:lang w:val="en-US" w:eastAsia="zh-CN"/>
        </w:rPr>
        <w:t>扩容目标完成情况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本次扩容围绕“保障连续性、提升性能、优化成本”三大核心目标展开，各项关键指标达成情况如下：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2499"/>
        <w:gridCol w:w="1902"/>
        <w:gridCol w:w="1842"/>
        <w:gridCol w:w="116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1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扩容组件</w:t>
            </w:r>
          </w:p>
        </w:tc>
        <w:tc>
          <w:tcPr>
            <w:tcW w:w="24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目标指标</w:t>
            </w:r>
          </w:p>
        </w:tc>
        <w:tc>
          <w:tcPr>
            <w:tcW w:w="19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扩容前状态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扩容后状态</w:t>
            </w:r>
          </w:p>
        </w:tc>
        <w:tc>
          <w:tcPr>
            <w:tcW w:w="11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达成情况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硬盘存储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使用率降至70%以下，并满足12个月增长需求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总使用率82%，监控分区91%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总使用率58%，新架构弹性扩展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超额完成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连接数峰值利用率&lt;70%，查询P95响应时间优化20%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连接数峰值85%，P95响应时间1.2s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连接数峰值62%，P95响应时间0.8s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Redis集群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内存使用率稳定在65%以下，消除逐出告警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使用率&gt;80%，频繁告警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使用率60%，零逐出事件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应用服务器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消除SWAP使用，应用平均响应时间提升15%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SWAP使用率5-10%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SWAP使用率0%，响应时间提升18%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5" w:name="_Toc30621"/>
      <w:r>
        <w:rPr>
          <w:rFonts w:hint="default"/>
          <w:lang w:val="en-US" w:eastAsia="zh-CN"/>
        </w:rPr>
        <w:t>详细实施成果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5712"/>
      <w:r>
        <w:rPr>
          <w:rFonts w:hint="default"/>
          <w:lang w:val="en-US" w:eastAsia="zh-CN"/>
        </w:rPr>
        <w:t>第一阶段：紧急扩容（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月-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月）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采购并部署 30TB 高性能混合存储，优先解决监控日志分区爆满危机。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 Redis集群内存从64GB在线扩容至</w:t>
      </w:r>
      <w:r>
        <w:rPr>
          <w:rFonts w:hint="eastAsia"/>
          <w:lang w:val="en-US" w:eastAsia="zh-CN"/>
        </w:rPr>
        <w:t>256</w:t>
      </w:r>
      <w:r>
        <w:rPr>
          <w:rFonts w:hint="default"/>
          <w:lang w:val="en-US" w:eastAsia="zh-CN"/>
        </w:rPr>
        <w:t>GB，采用集群模式增加两个新节点。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 4台核心应用服务器 进行内存升级（64GB → </w:t>
      </w:r>
      <w:r>
        <w:rPr>
          <w:rFonts w:hint="eastAsia"/>
          <w:lang w:val="en-US" w:eastAsia="zh-CN"/>
        </w:rPr>
        <w:t>256</w:t>
      </w:r>
      <w:r>
        <w:rPr>
          <w:rFonts w:hint="default"/>
          <w:lang w:val="en-US" w:eastAsia="zh-CN"/>
        </w:rPr>
        <w:t>GB）。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高危存储告警在 48小时 内消除。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业务高峰期的Redis缓存命中率从88%提升至94%，会话丢失投诉降为零。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监控数据采集延迟降低40%。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9497"/>
      <w:r>
        <w:rPr>
          <w:rFonts w:hint="default"/>
          <w:lang w:val="en-US" w:eastAsia="zh-CN"/>
        </w:rPr>
        <w:t>第二阶段：架构优化（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月-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月）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数据库读写分离部署：成功搭建1主2从架构，将报表查询、知识库检索等读操作引流至从库。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存储分层策略落地：制定并执行数据生命周期策略，将超过90天的监控详细数据自动迁移至大容量SATA存储池，释放高性能存储空间。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Redis分片集群改造：将原主从模式升级为官方的Cluster分片模式，数据分片分布在6个主节点上。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数据库主库写压力下降35%，从库资源利用率稳定在50%。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存储总体成本（TCO）估算优化约25%。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Redis集群的横向扩展能力与故障隔离性显著增强。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5606"/>
      <w:r>
        <w:rPr>
          <w:rFonts w:hint="default"/>
          <w:lang w:val="en-US" w:eastAsia="zh-CN"/>
        </w:rPr>
        <w:t>第三阶段：全面升级与收尾（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月-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月）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分布式存储（Ceph）试点部署：完成一个包含30TB可用容量的Ceph集群搭建，并开始承接非关键业务的温数据存储。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容量监控与预测模型建立：在统一监控平台中集成基础设施容量看板，实现对存储、内存、数据库增长趋势的预测分析。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文档与知识入库：将本次扩容的所有技术方案、操作手册、故障预案录入公司运维知识库。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为未来存储的“池化”管理与弹性扩展奠定了技术基础。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实现了从“被动响应告警”到“主动预测扩容”的运维模式转变。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9045"/>
      <w:r>
        <w:rPr>
          <w:rFonts w:hint="default"/>
          <w:lang w:val="en-US" w:eastAsia="zh-CN"/>
        </w:rPr>
        <w:t>性能与效益分析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3491"/>
      <w:r>
        <w:rPr>
          <w:rFonts w:hint="default"/>
          <w:lang w:val="en-US" w:eastAsia="zh-CN"/>
        </w:rPr>
        <w:t>性能提升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系统整体响应：核心运维平台（服务台、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）的平均页面加载时间缩短 22%。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数据处理能力：夜间批量作业（如日志分析、报表生成）的完成时间平均减少 33%。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并发支撑：已验证系统可稳定支持 50% 以上的并发用户增长，达到设计目标。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7763"/>
      <w:r>
        <w:rPr>
          <w:rFonts w:hint="default"/>
          <w:lang w:val="en-US" w:eastAsia="zh-CN"/>
        </w:rPr>
        <w:t>成本效益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直接成本：本次扩容硬件及软件采购总投入约为18.5万元，控制在预算（19.7万元）范围内。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隐性收益：通过预防可能因容量不足导致的业务中断，估算规避潜在损失超过50万元。效率提升折算为人力节省，年化价值约20万元。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7880"/>
      <w:r>
        <w:rPr>
          <w:rFonts w:hint="default"/>
          <w:lang w:val="en-US" w:eastAsia="zh-CN"/>
        </w:rPr>
        <w:t>运维效能改进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告警减少：基础设施相关的P3/P4级告警数量下降 70%。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管理可视化：新的容量看板使资源规划决策更具数据支撑。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2749"/>
      <w:r>
        <w:rPr>
          <w:rFonts w:hint="default"/>
          <w:lang w:val="en-US" w:eastAsia="zh-CN"/>
        </w:rPr>
        <w:t>经验总结与后续建议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6196"/>
      <w:r>
        <w:rPr>
          <w:rFonts w:hint="default"/>
          <w:lang w:val="en-US" w:eastAsia="zh-CN"/>
        </w:rPr>
        <w:t>主要经验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分阶段、滚动实施的策略 有效控制了风险，保障了业务连续性。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“架构优化”与“单纯扩容”相结合，取得了比单纯增加硬件更好的长期效益。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前期充分的测试验证（尤其是Redis在线重分片和数据库主从切换）是成功的关键。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0330"/>
      <w:r>
        <w:rPr>
          <w:rFonts w:hint="default"/>
          <w:lang w:val="en-US" w:eastAsia="zh-CN"/>
        </w:rPr>
        <w:t>后续建议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常态化容量管理：建议每季度例行审查容量预测报告，将基础设施规划纳入公司年度预算流程。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技术债偿还：本次扩容暴露了部分老旧应用对资源规划不足的问题，建议由研发部牵头，推动应用架构的现代化改造。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技能提升：建议组织关于“分布式存储管理”、“数据库深度调优”的内部分享或培训，提升整体团队的技术纵深。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3444"/>
      <w:r>
        <w:rPr>
          <w:rFonts w:hint="default"/>
          <w:lang w:val="en-US" w:eastAsia="zh-CN"/>
        </w:rPr>
        <w:t>结论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核心数据基础设施扩容工程已按计划圆满完成，不仅解决了当前的容量危机，更通过架构优化提升了系统的整体弹性、性能与可运维性，为公司未来一到两年的业务发展提供了坚实可靠的基础设施保障。项目达到了预期目标，投资回报显著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1919</Words>
  <Characters>2178</Characters>
  <Application>Microsoft Office Word</Application>
  <DocSecurity>0</DocSecurity>
  <Lines>0</Lines>
  <Paragraphs>0</Paragraphs>
  <ScaleCrop>false</ScaleCrop>
  <Company/>
  <LinksUpToDate>false</LinksUpToDate>
  <CharactersWithSpaces>2260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2026-04-24T18:01:53Z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