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23274"/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-22225</wp:posOffset>
            </wp:positionV>
            <wp:extent cx="5304790" cy="8893810"/>
            <wp:effectExtent l="0" t="0" r="13970" b="635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桐乡华数广电网络有限公司</w:t>
      </w:r>
      <w:bookmarkEnd w:id="0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23016"/>
      <w:r>
        <w:rPr>
          <w:rFonts w:hint="eastAsia"/>
          <w:lang w:val="en-US" w:eastAsia="zh-CN"/>
        </w:rPr>
        <w:t>备件库管理制度</w:t>
      </w:r>
      <w:bookmarkEnd w:id="1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right="0" w:firstLine="0" w:leftChars="0" w:rightChars="0" w:firstLineChars="0"/>
        <w:jc w:val="center"/>
        <w:textAlignment w:val="baseline"/>
        <w:rPr>
          <w:rFonts w:ascii="宋体" w:eastAsia="宋体" w:hAnsi="宋体" w:cs="宋体" w:hint="eastAsia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文件编号：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val="en-US" w:eastAsia="zh-CN"/>
        </w:rPr>
        <w:t>TXHS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8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3</w:t>
      </w:r>
    </w:p>
    <w:tbl>
      <w:tblPr>
        <w:tblStyle w:val="TableGrid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>
        <w:tblPrEx>
          <w:tblW w:w="0" w:type="auto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运维部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V1.0</w:t>
            </w:r>
          </w:p>
        </w:tc>
        <w:tc>
          <w:tcPr>
            <w:tcW w:w="2708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</w:t>
            </w:r>
            <w:bookmarkStart w:id="2" w:name="_GoBack"/>
            <w:bookmarkEnd w:id="2"/>
            <w:r>
              <w:rPr>
                <w:rFonts w:hint="eastAsia"/>
                <w:vertAlign w:val="baseline"/>
                <w:lang w:val="en-US" w:eastAsia="zh-CN"/>
              </w:rPr>
              <w:t>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吴亚红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eastAsia="宋体" w:hAnsi="宋体" w:cs="宋体"/>
          <w:sz w:val="31"/>
          <w:szCs w:val="31"/>
        </w:rPr>
      </w:pPr>
      <w:r>
        <w:rPr>
          <w:rFonts w:ascii="宋体" w:eastAsia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TableNormal0"/>
        <w:tblW w:w="8214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>
        <w:tblPrEx>
          <w:tblW w:w="8214" w:type="dxa"/>
          <w:jc w:val="center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/>
          <w:jc w:val="center"/>
        </w:trPr>
        <w:tc>
          <w:tcPr>
            <w:tcW w:w="131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hAnsi="宋体" w:cs="宋体" w:hint="eastAsia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eastAsia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eastAsia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cs="宋体" w:hint="eastAsia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hAnsi="宋体" w:cs="宋体" w:hint="default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cs="宋体" w:hint="eastAsia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/>
          <w:jc w:val="center"/>
        </w:trPr>
        <w:tc>
          <w:tcPr>
            <w:tcW w:w="1317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2022.6.20</w:t>
            </w:r>
          </w:p>
        </w:tc>
        <w:tc>
          <w:tcPr>
            <w:tcW w:w="97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575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spacing w:val="200"/>
                <w:kern w:val="0"/>
                <w:sz w:val="20"/>
                <w:szCs w:val="20"/>
              </w:rPr>
              <w:t>新</w:t>
            </w:r>
            <w:r>
              <w:rPr>
                <w:rFonts w:ascii="宋体" w:eastAsia="宋体" w:hAnsi="宋体" w:cs="宋体"/>
                <w:spacing w:val="0"/>
                <w:kern w:val="0"/>
                <w:sz w:val="20"/>
                <w:szCs w:val="20"/>
              </w:rPr>
              <w:t>建</w:t>
            </w:r>
          </w:p>
        </w:tc>
        <w:tc>
          <w:tcPr>
            <w:tcW w:w="1829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napToGrid w:val="0"/>
                <w:color w:val="000000"/>
                <w:spacing w:val="2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Theme="minorAscii" w:eastAsiaTheme="minorEastAsia" w:hAnsiTheme="minorAscii" w:hint="eastAsia"/>
                <w:spacing w:val="0"/>
                <w:kern w:val="0"/>
                <w:sz w:val="21"/>
                <w:vertAlign w:val="baseline"/>
                <w:lang w:val="en-US" w:eastAsia="zh-CN"/>
              </w:rPr>
              <w:t>强宇涛</w:t>
            </w:r>
          </w:p>
        </w:tc>
        <w:tc>
          <w:tcPr>
            <w:tcW w:w="1606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napToGrid w:val="0"/>
                <w:color w:val="000000"/>
                <w:spacing w:val="2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Theme="minorAscii" w:eastAsiaTheme="minorEastAsia" w:hAnsiTheme="minorAscii" w:hint="eastAsia"/>
                <w:spacing w:val="0"/>
                <w:kern w:val="0"/>
                <w:sz w:val="21"/>
                <w:vertAlign w:val="baseline"/>
                <w:lang w:val="en-US" w:eastAsia="zh-CN"/>
              </w:rPr>
              <w:t>陈凯</w:t>
            </w:r>
          </w:p>
        </w:tc>
        <w:tc>
          <w:tcPr>
            <w:tcW w:w="915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Theme="minorAscii" w:eastAsiaTheme="minorEastAsia" w:hAnsiTheme="minorAscii" w:hint="eastAsia"/>
                <w:spacing w:val="0"/>
                <w:kern w:val="0"/>
                <w:sz w:val="21"/>
                <w:vertAlign w:val="baseline"/>
                <w:lang w:val="en-US" w:eastAsia="zh-CN"/>
              </w:rPr>
              <w:t>吴亚红</w:t>
            </w: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1317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202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5</w:t>
            </w: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.1.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7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575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napToGrid w:val="0"/>
                <w:color w:val="000000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宋体" w:hAnsi="宋体" w:cs="宋体" w:hint="eastAsia"/>
                <w:snapToGrid w:val="0"/>
                <w:color w:val="000000"/>
                <w:kern w:val="0"/>
                <w:sz w:val="20"/>
                <w:szCs w:val="20"/>
                <w:lang w:val="en-US" w:eastAsia="zh-CN" w:bidi="ar-SA"/>
              </w:rPr>
              <w:t>修订应急采购</w:t>
            </w:r>
          </w:p>
        </w:tc>
        <w:tc>
          <w:tcPr>
            <w:tcW w:w="1829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napToGrid w:val="0"/>
                <w:color w:val="000000"/>
                <w:spacing w:val="2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Theme="minorAscii" w:eastAsiaTheme="minorEastAsia" w:hAnsiTheme="minorAscii" w:hint="eastAsia"/>
                <w:spacing w:val="0"/>
                <w:kern w:val="0"/>
                <w:sz w:val="21"/>
                <w:vertAlign w:val="baseline"/>
                <w:lang w:val="en-US" w:eastAsia="zh-CN"/>
              </w:rPr>
              <w:t>强宇涛</w:t>
            </w:r>
          </w:p>
        </w:tc>
        <w:tc>
          <w:tcPr>
            <w:tcW w:w="1606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napToGrid w:val="0"/>
                <w:color w:val="000000"/>
                <w:spacing w:val="2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Theme="minorAscii" w:eastAsiaTheme="minorEastAsia" w:hAnsiTheme="minorAscii" w:hint="eastAsia"/>
                <w:spacing w:val="0"/>
                <w:kern w:val="0"/>
                <w:sz w:val="21"/>
                <w:vertAlign w:val="baseline"/>
                <w:lang w:val="en-US" w:eastAsia="zh-CN"/>
              </w:rPr>
              <w:t>陈凯</w:t>
            </w:r>
          </w:p>
        </w:tc>
        <w:tc>
          <w:tcPr>
            <w:tcW w:w="915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Theme="minorAscii" w:eastAsiaTheme="minorEastAsia" w:hAnsiTheme="minorAscii" w:hint="eastAsia"/>
                <w:spacing w:val="0"/>
                <w:kern w:val="0"/>
                <w:sz w:val="21"/>
                <w:vertAlign w:val="baseline"/>
                <w:lang w:val="en-US" w:eastAsia="zh-CN"/>
              </w:rPr>
              <w:t>吴亚红</w:t>
            </w: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131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  <w:jc w:val="center"/>
        </w:trPr>
        <w:tc>
          <w:tcPr>
            <w:tcW w:w="131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ascii="宋体" w:eastAsia="宋体" w:hAnsi="宋体" w:cs="宋体" w:hint="eastAsia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  <w:rPr>
              <w:rFonts w:ascii="宋体" w:eastAsia="宋体" w:hAnsi="宋体" w:cs="宋体" w:hint="eastAsia"/>
              <w:sz w:val="24"/>
              <w:szCs w:val="24"/>
            </w:rPr>
          </w:pPr>
          <w:r>
            <w:rPr>
              <w:rFonts w:ascii="宋体" w:eastAsia="宋体" w:hAnsi="宋体" w:cs="宋体" w:hint="eastAsia"/>
              <w:sz w:val="24"/>
              <w:szCs w:val="24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 w:val="24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 w:val="24"/>
              <w:szCs w:val="24"/>
            </w:rPr>
            <w:instrText xml:space="preserve">TOC \o "1-3" \h \u </w:instrText>
          </w:r>
          <w:r>
            <w:rPr>
              <w:rFonts w:ascii="宋体" w:eastAsia="宋体" w:hAnsi="宋体" w:cs="宋体" w:hint="eastAsia"/>
              <w:sz w:val="24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_Toc23274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桐乡华数广电网络有限公司</w:t>
          </w:r>
          <w:r>
            <w:tab/>
          </w:r>
          <w:r>
            <w:fldChar w:fldCharType="begin"/>
          </w:r>
          <w:r>
            <w:instrText xml:space="preserve"> PAGEREF _Toc23274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_Toc23016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备件库管理制度</w:t>
          </w:r>
          <w:r>
            <w:tab/>
          </w:r>
          <w:r>
            <w:fldChar w:fldCharType="begin"/>
          </w:r>
          <w:r>
            <w:instrText xml:space="preserve"> PAGEREF _Toc23016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_Toc28905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t>目的</w:t>
          </w:r>
          <w:r>
            <w:tab/>
          </w:r>
          <w:r>
            <w:fldChar w:fldCharType="begin"/>
          </w:r>
          <w:r>
            <w:instrText xml:space="preserve"> PAGEREF _Toc28905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_Toc7144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2. </w:t>
          </w:r>
          <w:r>
            <w:t>适用范围</w:t>
          </w:r>
          <w:r>
            <w:tab/>
          </w:r>
          <w:r>
            <w:fldChar w:fldCharType="begin"/>
          </w:r>
          <w:r>
            <w:instrText xml:space="preserve"> PAGEREF _Toc7144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_Toc1814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2.1. </w:t>
          </w:r>
          <w:r>
            <w:t>管理原则</w:t>
          </w:r>
          <w:r>
            <w:tab/>
          </w:r>
          <w:r>
            <w:fldChar w:fldCharType="begin"/>
          </w:r>
          <w:r>
            <w:instrText xml:space="preserve"> PAGEREF _Toc1814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_Toc3193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t>职责</w:t>
          </w:r>
          <w:r>
            <w:tab/>
          </w:r>
          <w:r>
            <w:fldChar w:fldCharType="begin"/>
          </w:r>
          <w:r>
            <w:instrText xml:space="preserve"> PAGEREF _Toc3193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_Toc17725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3.1. </w:t>
          </w:r>
          <w:r>
            <w:t>运维部职责</w:t>
          </w:r>
          <w:r>
            <w:tab/>
          </w:r>
          <w:r>
            <w:fldChar w:fldCharType="begin"/>
          </w:r>
          <w:r>
            <w:instrText xml:space="preserve"> PAGEREF _Toc17725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_Toc10010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3.2. </w:t>
          </w:r>
          <w:r>
            <w:t>项目组职责</w:t>
          </w:r>
          <w:r>
            <w:tab/>
          </w:r>
          <w:r>
            <w:fldChar w:fldCharType="begin"/>
          </w:r>
          <w:r>
            <w:instrText xml:space="preserve"> PAGEREF _Toc10010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_Toc26680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4. </w:t>
          </w:r>
          <w:r>
            <w:t>备件库房管理要求</w:t>
          </w:r>
          <w:r>
            <w:tab/>
          </w:r>
          <w:r>
            <w:fldChar w:fldCharType="begin"/>
          </w:r>
          <w:r>
            <w:instrText xml:space="preserve"> PAGEREF _Toc26680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_Toc3888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5. </w:t>
          </w:r>
          <w:r>
            <w:t>备件管理流程</w:t>
          </w:r>
          <w:r>
            <w:tab/>
          </w:r>
          <w:r>
            <w:fldChar w:fldCharType="begin"/>
          </w:r>
          <w:r>
            <w:instrText xml:space="preserve"> PAGEREF _Toc3888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_Toc16387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5.1. </w:t>
          </w:r>
          <w:r>
            <w:t>备品备件采购管理</w:t>
          </w:r>
          <w:r>
            <w:tab/>
          </w:r>
          <w:r>
            <w:fldChar w:fldCharType="begin"/>
          </w:r>
          <w:r>
            <w:instrText xml:space="preserve"> PAGEREF _Toc16387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_Toc20040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5.1.1. </w:t>
          </w:r>
          <w:r>
            <w:t>年度备品备件采购</w:t>
          </w:r>
          <w:r>
            <w:tab/>
          </w:r>
          <w:r>
            <w:fldChar w:fldCharType="begin"/>
          </w:r>
          <w:r>
            <w:instrText xml:space="preserve"> PAGEREF _Toc20040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_Toc19314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5.1.2. </w:t>
          </w:r>
          <w:r>
            <w:t>项目备品备件采购</w:t>
          </w:r>
          <w:r>
            <w:tab/>
          </w:r>
          <w:r>
            <w:fldChar w:fldCharType="begin"/>
          </w:r>
          <w:r>
            <w:instrText xml:space="preserve"> PAGEREF _Toc19314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_Toc32118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5.1.3. </w:t>
          </w:r>
          <w:r>
            <w:t>紧急备品备件采购</w:t>
          </w:r>
          <w:r>
            <w:tab/>
          </w:r>
          <w:r>
            <w:fldChar w:fldCharType="begin"/>
          </w:r>
          <w:r>
            <w:instrText xml:space="preserve"> PAGEREF _Toc32118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_Toc18064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5.2. </w:t>
          </w:r>
          <w:r>
            <w:t>5.2 备品备件库存管理</w:t>
          </w:r>
          <w:r>
            <w:tab/>
          </w:r>
          <w:r>
            <w:fldChar w:fldCharType="begin"/>
          </w:r>
          <w:r>
            <w:instrText xml:space="preserve"> PAGEREF _Toc18064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_Toc31423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5.3. </w:t>
          </w:r>
          <w:r>
            <w:t>备品备件领用管理</w:t>
          </w:r>
          <w:r>
            <w:tab/>
          </w:r>
          <w:r>
            <w:fldChar w:fldCharType="begin"/>
          </w:r>
          <w:r>
            <w:instrText xml:space="preserve"> PAGEREF _Toc31423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_Toc26860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5.4. </w:t>
          </w:r>
          <w:r>
            <w:t>备品备件响应管理</w:t>
          </w:r>
          <w:r>
            <w:tab/>
          </w:r>
          <w:r>
            <w:fldChar w:fldCharType="begin"/>
          </w:r>
          <w:r>
            <w:instrText xml:space="preserve"> PAGEREF _Toc26860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_Toc4775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5.4.1. </w:t>
          </w:r>
          <w:r>
            <w:t>故障级别判定</w:t>
          </w:r>
          <w:r>
            <w:tab/>
          </w:r>
          <w:r>
            <w:fldChar w:fldCharType="begin"/>
          </w:r>
          <w:r>
            <w:instrText xml:space="preserve"> PAGEREF _Toc4775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_Toc15201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5.4.2. </w:t>
          </w:r>
          <w:r>
            <w:t>响应时限</w:t>
          </w:r>
          <w:r>
            <w:tab/>
          </w:r>
          <w:r>
            <w:fldChar w:fldCharType="begin"/>
          </w:r>
          <w:r>
            <w:instrText xml:space="preserve"> PAGEREF _Toc15201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_Toc1884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5.5. </w:t>
          </w:r>
          <w:r>
            <w:t>坏件送修管理</w:t>
          </w:r>
          <w:r>
            <w:tab/>
          </w:r>
          <w:r>
            <w:fldChar w:fldCharType="begin"/>
          </w:r>
          <w:r>
            <w:instrText xml:space="preserve"> PAGEREF _Toc1884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_Toc26916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5.6. </w:t>
          </w:r>
          <w:r>
            <w:t>备品备件报废管理</w:t>
          </w:r>
          <w:r>
            <w:tab/>
          </w:r>
          <w:r>
            <w:fldChar w:fldCharType="begin"/>
          </w:r>
          <w:r>
            <w:instrText xml:space="preserve"> PAGEREF _Toc26916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_Toc27159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5.7. </w:t>
          </w:r>
          <w:r>
            <w:t>备品备件检测</w:t>
          </w:r>
          <w:r>
            <w:tab/>
          </w:r>
          <w:r>
            <w:fldChar w:fldCharType="begin"/>
          </w:r>
          <w:r>
            <w:instrText xml:space="preserve"> PAGEREF _Toc27159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_Toc19981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6. </w:t>
          </w:r>
          <w:r>
            <w:t>检查及考核</w:t>
          </w:r>
          <w:r>
            <w:tab/>
          </w:r>
          <w:r>
            <w:fldChar w:fldCharType="begin"/>
          </w:r>
          <w:r>
            <w:instrText xml:space="preserve"> PAGEREF _Toc19981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_Toc8362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6.1. </w:t>
          </w:r>
          <w:r>
            <w:t>考核指标</w:t>
          </w:r>
          <w:r>
            <w:tab/>
          </w:r>
          <w:r>
            <w:fldChar w:fldCharType="begin"/>
          </w:r>
          <w:r>
            <w:instrText xml:space="preserve"> PAGEREF _Toc8362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_Toc21637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6.2. </w:t>
          </w:r>
          <w:r>
            <w:t>检查机制</w:t>
          </w:r>
          <w:r>
            <w:tab/>
          </w:r>
          <w:r>
            <w:fldChar w:fldCharType="begin"/>
          </w:r>
          <w:r>
            <w:instrText xml:space="preserve"> PAGEREF _Toc21637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_Toc83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7. </w:t>
          </w:r>
          <w:r>
            <w:t>记录</w:t>
          </w:r>
          <w:r>
            <w:tab/>
          </w:r>
          <w:r>
            <w:fldChar w:fldCharType="begin"/>
          </w:r>
          <w:r>
            <w:instrText xml:space="preserve"> PAGEREF _Toc83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_Toc1913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8. </w:t>
          </w:r>
          <w:r>
            <w:t>附则</w:t>
          </w:r>
          <w:r>
            <w:tab/>
          </w:r>
          <w:r>
            <w:fldChar w:fldCharType="begin"/>
          </w:r>
          <w:r>
            <w:instrText xml:space="preserve"> PAGEREF _Toc1913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ascii="宋体" w:eastAsia="宋体" w:hAnsi="宋体" w:cs="宋体" w:hint="eastAsia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</w:sdtContent>
    </w:sdt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3" w:name="heading_3"/>
      <w:bookmarkStart w:id="4" w:name="_Toc28905"/>
      <w:r>
        <w:t>目的</w:t>
      </w:r>
      <w:bookmarkEnd w:id="3"/>
      <w:bookmarkEnd w:id="4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为加强公司备品备件库的集中统一管理，做好备品备件的储备供应工作，抓好用、管、修、供四个环节，保证设备故障维修和检修计划的顺利进行，充分利用、合理配置备品备件资源，降低库存资金占用及运维成本，实现备品备件“统一管理、分级存放、资源共享、集中调配、就近领用”的快速高效管理模式，特制定本制度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5" w:name="heading_4"/>
      <w:bookmarkStart w:id="6" w:name="_Toc7144"/>
      <w:r>
        <w:t>适用范围</w:t>
      </w:r>
      <w:bookmarkEnd w:id="5"/>
      <w:bookmarkEnd w:id="6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本制度适用于公司运维部备品备件库及各运维项目备品备件库。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7" w:name="_Toc1814"/>
      <w:bookmarkStart w:id="8" w:name="heading_5"/>
      <w:r>
        <w:t>管理原则</w:t>
      </w:r>
      <w:bookmarkEnd w:id="7"/>
      <w:bookmarkEnd w:id="8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备品备件管理遵循以下原则：</w:t>
      </w:r>
    </w:p>
    <w:p>
      <w:pPr>
        <w:pStyle w:val="a4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统一管理：公司对备品备件进行统一购买、统一送修故障件、统一费用结算。</w:t>
      </w:r>
    </w:p>
    <w:p>
      <w:pPr>
        <w:pStyle w:val="a4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分级存放：公司统一购买并存放通用、核心、高值的备品备件，供各项目周转使用；各项目组按照合同要求在现场存放常用备件。</w:t>
      </w:r>
    </w:p>
    <w:p>
      <w:pPr>
        <w:pStyle w:val="a4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资源共享：通过备品备件管理系统的建设，使存放在各处的备件信息资源共享。</w:t>
      </w:r>
    </w:p>
    <w:p>
      <w:pPr>
        <w:pStyle w:val="a4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集中调配：根据维护实际需要，运维部负责跨项目之间的备件调用。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9" w:name="_Toc3193"/>
      <w:bookmarkStart w:id="10" w:name="heading_7"/>
      <w:r>
        <w:t>职责</w:t>
      </w:r>
      <w:bookmarkEnd w:id="9"/>
      <w:bookmarkEnd w:id="10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1" w:name="heading_8"/>
      <w:bookmarkStart w:id="12" w:name="_Toc17725"/>
      <w:r>
        <w:t>运维部职责</w:t>
      </w:r>
      <w:bookmarkEnd w:id="11"/>
      <w:bookmarkEnd w:id="12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公司备品备件由运维部统一归口管理，主要职责包括：</w:t>
      </w:r>
    </w:p>
    <w:p>
      <w:pPr>
        <w:pStyle w:val="a4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</w:pPr>
      <w:r>
        <w:t>制定公司备品备件管理办法和考核办法，综合管理、考核公司的备品备件管理工作。</w:t>
      </w:r>
    </w:p>
    <w:p>
      <w:pPr>
        <w:pStyle w:val="a4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</w:pPr>
      <w:r>
        <w:t>负责协调各项目组间的应急调拨工作。</w:t>
      </w:r>
    </w:p>
    <w:p>
      <w:pPr>
        <w:pStyle w:val="a4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</w:pPr>
      <w:r>
        <w:t>响应各项目组对备品备件的需求，及时寄送备件。</w:t>
      </w:r>
    </w:p>
    <w:p>
      <w:pPr>
        <w:pStyle w:val="a4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</w:pPr>
      <w:r>
        <w:t>对新购买的备件和返修备件进行入库前质量检测。</w:t>
      </w:r>
    </w:p>
    <w:p>
      <w:pPr>
        <w:pStyle w:val="a4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</w:pPr>
      <w:r>
        <w:t>对备品备件库房进行规范管理，对备件质量进行定期检测，保证备件性能完好。</w:t>
      </w:r>
    </w:p>
    <w:p>
      <w:pPr>
        <w:pStyle w:val="a4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</w:pPr>
      <w:r>
        <w:t>负责制定年度备品备件购置计划和修理费用预算，上报公司审批。</w:t>
      </w:r>
    </w:p>
    <w:p>
      <w:pPr>
        <w:pStyle w:val="a4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</w:pPr>
      <w:r>
        <w:t>对各项目组备品备件管理工作进行业务指导，定期进行检查，并将检查结果向公司通报。</w:t>
      </w:r>
    </w:p>
    <w:p>
      <w:pPr>
        <w:pStyle w:val="a4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</w:pPr>
      <w:r>
        <w:t>定期核对备品备件调用情况，确保库存与记录相符。</w:t>
      </w:r>
    </w:p>
    <w:p>
      <w:pPr>
        <w:pStyle w:val="a4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</w:pPr>
      <w:r>
        <w:t>负责公司全部备品备件的返修工作。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3" w:name="_Toc10010"/>
      <w:bookmarkStart w:id="14" w:name="heading_9"/>
      <w:r>
        <w:t>项目组职责</w:t>
      </w:r>
      <w:bookmarkEnd w:id="13"/>
      <w:bookmarkEnd w:id="14"/>
    </w:p>
    <w:p>
      <w:pPr>
        <w:pStyle w:val="a4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</w:pPr>
      <w:r>
        <w:t>负责存放在项目现场的所有备件的管理使用，并将备件管理责任落实到具体人员。</w:t>
      </w:r>
    </w:p>
    <w:p>
      <w:pPr>
        <w:pStyle w:val="a4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</w:pPr>
      <w:r>
        <w:t>对项目组备件库房进行规范管理，24小时响应维护现场对备件的需求。</w:t>
      </w:r>
    </w:p>
    <w:p>
      <w:pPr>
        <w:pStyle w:val="a4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</w:pPr>
      <w:r>
        <w:t>将本地的故障件统一寄送到运维部更换或送修。</w:t>
      </w:r>
    </w:p>
    <w:p>
      <w:pPr>
        <w:pStyle w:val="a4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</w:pPr>
      <w:r>
        <w:t>组织维护人员对备件进行入库前质量检测。</w:t>
      </w:r>
    </w:p>
    <w:p>
      <w:pPr>
        <w:pStyle w:val="a4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</w:pPr>
      <w:r>
        <w:t>负责项目组的备件调用，紧急情况下若无本地备件，申请紧急备件支持。</w:t>
      </w:r>
    </w:p>
    <w:p>
      <w:pPr>
        <w:pStyle w:val="a4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</w:pPr>
      <w:r>
        <w:t>根据本项目设备的运行情况和备件情况，制定备件购置年度计划报运维部。</w:t>
      </w:r>
    </w:p>
    <w:p>
      <w:pPr>
        <w:pStyle w:val="a4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</w:pPr>
      <w:r>
        <w:t>定期对存放在现场备件库的备件管理情况进行巡查，对出现的问题提出改进措施。</w:t>
      </w:r>
    </w:p>
    <w:p>
      <w:pPr>
        <w:pStyle w:val="a4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</w:pPr>
      <w:r>
        <w:t>定期统计分析备品备件的使用情况、设备损坏及送修情况，报运维部存档。</w:t>
      </w:r>
    </w:p>
    <w:p>
      <w:pPr>
        <w:pStyle w:val="a4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</w:pPr>
      <w:r>
        <w:t>接受运维部的业务指导，服从公司备件的异地应急调用。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5" w:name="heading_10"/>
      <w:bookmarkStart w:id="16" w:name="_Toc26680"/>
      <w:r>
        <w:t>备件库房管理要求</w:t>
      </w:r>
      <w:bookmarkEnd w:id="15"/>
      <w:bookmarkEnd w:id="16"/>
    </w:p>
    <w:p>
      <w:pPr>
        <w:pStyle w:val="a4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</w:pPr>
      <w:r>
        <w:t>库房内严禁烟火，严禁存放易燃易爆物品，严禁乱拉乱搭电线，应配备消防设施。</w:t>
      </w:r>
    </w:p>
    <w:p>
      <w:pPr>
        <w:pStyle w:val="a4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</w:pPr>
      <w:r>
        <w:t>非工作人员不得进入库房。特殊情况需进入时，应符合进入库房的要求，并做好出入登记记录。</w:t>
      </w:r>
    </w:p>
    <w:p>
      <w:pPr>
        <w:pStyle w:val="a4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</w:pPr>
      <w:r>
        <w:t>入库的备品备件应装入防静电袋并密封好后再行储放，仪器仪表应装入包装盒（箱）中再行储放。</w:t>
      </w:r>
    </w:p>
    <w:p>
      <w:pPr>
        <w:pStyle w:val="a4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</w:pPr>
      <w:r>
        <w:t>各专业人员依据备品备件的型号分架放置，并贴上标签。标签要清晰、完整且贴在醒目的位置。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7" w:name="_Toc3888"/>
      <w:bookmarkStart w:id="18" w:name="heading_11"/>
      <w:r>
        <w:t>备件管理流程</w:t>
      </w:r>
      <w:bookmarkEnd w:id="17"/>
      <w:bookmarkEnd w:id="18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9" w:name="heading_12"/>
      <w:bookmarkStart w:id="20" w:name="_Toc16387"/>
      <w:r>
        <w:t>备品备件采购管理</w:t>
      </w:r>
      <w:bookmarkEnd w:id="19"/>
      <w:bookmarkEnd w:id="20"/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1" w:name="_Toc20040"/>
      <w:bookmarkStart w:id="22" w:name="heading_13"/>
      <w:r>
        <w:t>年度备品备件采购</w:t>
      </w:r>
      <w:bookmarkEnd w:id="21"/>
      <w:bookmarkEnd w:id="22"/>
    </w:p>
    <w:p>
      <w:pPr>
        <w:pStyle w:val="a4"/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</w:pPr>
      <w:r>
        <w:t>各项目组根据区域内设备运行情况，制定年度备品备件采购计划。</w:t>
      </w:r>
    </w:p>
    <w:p>
      <w:pPr>
        <w:pStyle w:val="a4"/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</w:pPr>
      <w:r>
        <w:t>运维部根据各项目组上报的备品备件采购计划，汇总制定公司年度备品备件采购计划。</w:t>
      </w:r>
    </w:p>
    <w:p>
      <w:pPr>
        <w:pStyle w:val="a4"/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</w:pPr>
      <w:r>
        <w:t>年度备品备件采购计划通过公司审批后，交由采购部统一进行采购。</w:t>
      </w:r>
    </w:p>
    <w:p>
      <w:pPr>
        <w:pStyle w:val="a4"/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</w:pPr>
      <w:r>
        <w:t>采购回来的备品备件由运维部负责入库。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3" w:name="heading_14"/>
      <w:bookmarkStart w:id="24" w:name="_Toc19314"/>
      <w:r>
        <w:t>项目备品备件采购</w:t>
      </w:r>
      <w:bookmarkEnd w:id="23"/>
      <w:bookmarkEnd w:id="24"/>
    </w:p>
    <w:p>
      <w:pPr>
        <w:pStyle w:val="a4"/>
        <w:keepNext w:val="0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</w:pPr>
      <w:r>
        <w:t>根据合同要求，制定服务期内的备品备件采购计划，并上报公司。</w:t>
      </w:r>
    </w:p>
    <w:p>
      <w:pPr>
        <w:pStyle w:val="a4"/>
        <w:keepNext w:val="0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</w:pPr>
      <w:r>
        <w:t>审批通过后的项目备品备件采购计划由采购部统一采购，并发往项目组现场。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5" w:name="heading_15"/>
      <w:bookmarkStart w:id="26" w:name="_Toc32118"/>
      <w:r>
        <w:t>紧急备品备件采购</w:t>
      </w:r>
      <w:bookmarkEnd w:id="25"/>
      <w:bookmarkEnd w:id="26"/>
    </w:p>
    <w:p>
      <w:pPr>
        <w:pStyle w:val="a4"/>
        <w:keepNext w:val="0"/>
        <w:keepLines w:val="0"/>
        <w:pageBreakBefore w:val="0"/>
        <w:widowControl w:val="0"/>
        <w:numPr>
          <w:ilvl w:val="0"/>
          <w:numId w:val="8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</w:pPr>
      <w:r>
        <w:t>触发条件：</w:t>
      </w:r>
    </w:p>
    <w:p>
      <w:pPr>
        <w:pStyle w:val="a4"/>
        <w:keepNext w:val="0"/>
        <w:keepLines w:val="0"/>
        <w:pageBreakBefore w:val="0"/>
        <w:widowControl w:val="0"/>
        <w:numPr>
          <w:ilvl w:val="0"/>
          <w:numId w:val="9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845" w:hanging="425" w:leftChars="0" w:firstLineChars="0"/>
        <w:textAlignment w:val="baseline"/>
      </w:pPr>
      <w:r>
        <w:t>备品备件采购计划中没有列明，但在运维过程中实际需要的备品备件</w:t>
      </w:r>
    </w:p>
    <w:p>
      <w:pPr>
        <w:pStyle w:val="a4"/>
        <w:keepNext w:val="0"/>
        <w:keepLines w:val="0"/>
        <w:pageBreakBefore w:val="0"/>
        <w:widowControl w:val="0"/>
        <w:numPr>
          <w:ilvl w:val="0"/>
          <w:numId w:val="9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845" w:hanging="425" w:leftChars="0" w:firstLineChars="0"/>
        <w:textAlignment w:val="baseline"/>
      </w:pPr>
      <w:r>
        <w:t>实际需求超过采购计划中采购数量的备品备件</w:t>
      </w:r>
    </w:p>
    <w:p>
      <w:pPr>
        <w:pStyle w:val="a4"/>
        <w:keepNext w:val="0"/>
        <w:keepLines w:val="0"/>
        <w:pageBreakBefore w:val="0"/>
        <w:widowControl w:val="0"/>
        <w:numPr>
          <w:ilvl w:val="0"/>
          <w:numId w:val="8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</w:pPr>
      <w:r>
        <w:t>执行步骤：</w:t>
      </w:r>
    </w:p>
    <w:p>
      <w:pPr>
        <w:pStyle w:val="a4"/>
        <w:keepNext w:val="0"/>
        <w:keepLines w:val="0"/>
        <w:pageBreakBefore w:val="0"/>
        <w:widowControl w:val="0"/>
        <w:numPr>
          <w:ilvl w:val="0"/>
          <w:numId w:val="1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845" w:hanging="425" w:leftChars="0" w:firstLineChars="0"/>
        <w:textAlignment w:val="baseline"/>
      </w:pPr>
      <w:r>
        <w:t>运维工程师填写紧急采购申请单，注明原因、所需备品备件名称、型号、数量等信息。</w:t>
      </w:r>
    </w:p>
    <w:p>
      <w:pPr>
        <w:pStyle w:val="a4"/>
        <w:keepNext w:val="0"/>
        <w:keepLines w:val="0"/>
        <w:pageBreakBefore w:val="0"/>
        <w:widowControl w:val="0"/>
        <w:numPr>
          <w:ilvl w:val="0"/>
          <w:numId w:val="1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845" w:hanging="425" w:leftChars="0" w:firstLineChars="0"/>
        <w:textAlignment w:val="baseline"/>
      </w:pPr>
      <w:r>
        <w:t>运维部经理审批采购申请单。</w:t>
      </w:r>
    </w:p>
    <w:p>
      <w:pPr>
        <w:pStyle w:val="a4"/>
        <w:keepNext w:val="0"/>
        <w:keepLines w:val="0"/>
        <w:pageBreakBefore w:val="0"/>
        <w:widowControl w:val="0"/>
        <w:numPr>
          <w:ilvl w:val="0"/>
          <w:numId w:val="1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845" w:hanging="425" w:leftChars="0" w:firstLineChars="0"/>
        <w:textAlignment w:val="baseline"/>
      </w:pPr>
      <w:r>
        <w:t>采购部根据采购申请单，采购所需备品备件。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7" w:name="heading_16"/>
      <w:bookmarkStart w:id="28" w:name="_Toc18064"/>
      <w:r>
        <w:t>5.2 备品备件库存管理</w:t>
      </w:r>
      <w:bookmarkEnd w:id="27"/>
      <w:bookmarkEnd w:id="28"/>
    </w:p>
    <w:p>
      <w:pPr>
        <w:pStyle w:val="a4"/>
        <w:keepNext w:val="0"/>
        <w:keepLines w:val="0"/>
        <w:pageBreakBefore w:val="0"/>
        <w:widowControl w:val="0"/>
        <w:numPr>
          <w:ilvl w:val="0"/>
          <w:numId w:val="1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</w:pPr>
      <w:r>
        <w:t>运维部领用备品备件后，应规范有序地分级存放到各存放点（公司库房等），分门别类地存放到指定位置。要求按备件类别进行详细归类，备件上的资产编号、型号、名称、序列号等标识应齐全。</w:t>
      </w:r>
    </w:p>
    <w:p>
      <w:pPr>
        <w:pStyle w:val="a4"/>
        <w:keepNext w:val="0"/>
        <w:keepLines w:val="0"/>
        <w:pageBreakBefore w:val="0"/>
        <w:widowControl w:val="0"/>
        <w:numPr>
          <w:ilvl w:val="0"/>
          <w:numId w:val="1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</w:pPr>
      <w:r>
        <w:t>运维部应建立备品备件出入库台账，对备品备件的规格、数量、来源、出入库原因、去向、出库数量、结存数量等进行逐一登记。严格按制度执行备品备件的出入库清点、移交、双方签收，并及时建账入库。</w:t>
      </w:r>
    </w:p>
    <w:p>
      <w:pPr>
        <w:pStyle w:val="a4"/>
        <w:keepNext w:val="0"/>
        <w:keepLines w:val="0"/>
        <w:pageBreakBefore w:val="0"/>
        <w:widowControl w:val="0"/>
        <w:numPr>
          <w:ilvl w:val="0"/>
          <w:numId w:val="1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</w:pPr>
      <w:r>
        <w:t>库存备件应做到账、卡、物相符，记账及时准确。备件库房应建立定期盘点制度，对库存备品备件和在用备品备件的数量和种类进行统计，盘点结果上报公司。</w:t>
      </w:r>
    </w:p>
    <w:p>
      <w:pPr>
        <w:pStyle w:val="a4"/>
        <w:keepNext w:val="0"/>
        <w:keepLines w:val="0"/>
        <w:pageBreakBefore w:val="0"/>
        <w:widowControl w:val="0"/>
        <w:numPr>
          <w:ilvl w:val="0"/>
          <w:numId w:val="1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</w:pPr>
      <w:r>
        <w:t>盘点流程：备品备件管理员根据盘点计划进行实物盘点，生成实物盘点清单并与备品备件存量清单对比。如有差异，生成差异对比表上报领导审核，审核通过后按差异处理意见对库存做盘亏或盘盈处理。</w:t>
      </w:r>
    </w:p>
    <w:p>
      <w:pPr>
        <w:pStyle w:val="a4"/>
        <w:keepNext w:val="0"/>
        <w:keepLines w:val="0"/>
        <w:pageBreakBefore w:val="0"/>
        <w:widowControl w:val="0"/>
        <w:numPr>
          <w:ilvl w:val="0"/>
          <w:numId w:val="1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</w:pPr>
      <w:r>
        <w:t>备品备件库应对在用备品备件进行跟踪，加快回收速度，提高备件的周转率。对坏件及时送修，保证库存可用备件的数量。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9" w:name="heading_17"/>
      <w:bookmarkStart w:id="30" w:name="_Toc31423"/>
      <w:r>
        <w:t>备品备件领用管理</w:t>
      </w:r>
      <w:bookmarkEnd w:id="29"/>
      <w:bookmarkEnd w:id="30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当备件从库房拿出使用时，进入备件领用流程：</w:t>
      </w:r>
    </w:p>
    <w:p>
      <w:pPr>
        <w:pStyle w:val="a4"/>
        <w:keepNext w:val="0"/>
        <w:keepLines w:val="0"/>
        <w:pageBreakBefore w:val="0"/>
        <w:widowControl w:val="0"/>
        <w:numPr>
          <w:ilvl w:val="0"/>
          <w:numId w:val="1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</w:pPr>
      <w:r>
        <w:t>维护人员提出备件领用申请，填写《备品备件领用单》。</w:t>
      </w:r>
    </w:p>
    <w:p>
      <w:pPr>
        <w:pStyle w:val="a4"/>
        <w:keepNext w:val="0"/>
        <w:keepLines w:val="0"/>
        <w:pageBreakBefore w:val="0"/>
        <w:widowControl w:val="0"/>
        <w:numPr>
          <w:ilvl w:val="0"/>
          <w:numId w:val="1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</w:pPr>
      <w:r>
        <w:t>经项目经理审核通过后进行登记领用。</w:t>
      </w:r>
    </w:p>
    <w:p>
      <w:pPr>
        <w:pStyle w:val="a4"/>
        <w:keepNext w:val="0"/>
        <w:keepLines w:val="0"/>
        <w:pageBreakBefore w:val="0"/>
        <w:widowControl w:val="0"/>
        <w:numPr>
          <w:ilvl w:val="0"/>
          <w:numId w:val="1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</w:pPr>
      <w:r>
        <w:t>领用的备件用于更换故障设备后，更换回的坏件进入领用返回流程。</w:t>
      </w:r>
    </w:p>
    <w:p>
      <w:pPr>
        <w:pStyle w:val="a4"/>
        <w:keepNext w:val="0"/>
        <w:keepLines w:val="0"/>
        <w:pageBreakBefore w:val="0"/>
        <w:widowControl w:val="0"/>
        <w:numPr>
          <w:ilvl w:val="0"/>
          <w:numId w:val="1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</w:pPr>
      <w:r>
        <w:t>入库的坏件进入送修或报废流程。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31" w:name="_Toc26860"/>
      <w:bookmarkStart w:id="32" w:name="heading_18"/>
      <w:r>
        <w:t>备品备件响应管理</w:t>
      </w:r>
      <w:bookmarkEnd w:id="31"/>
      <w:bookmarkEnd w:id="32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备品备件响应按照故障级别进行分级响应：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33" w:name="heading_19"/>
      <w:bookmarkStart w:id="34" w:name="_Toc4775"/>
      <w:r>
        <w:t>故障级别判定</w:t>
      </w:r>
      <w:bookmarkEnd w:id="33"/>
      <w:bookmarkEnd w:id="34"/>
    </w:p>
    <w:tbl>
      <w:tblPr>
        <w:tblStyle w:val="TableNormal"/>
        <w:tblW w:w="8214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927"/>
        <w:gridCol w:w="6287"/>
      </w:tblGrid>
      <w:tr>
        <w:tblPrEx>
          <w:tblW w:w="8214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927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级别</w:t>
            </w:r>
          </w:p>
        </w:tc>
        <w:tc>
          <w:tcPr>
            <w:tcW w:w="6287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定义</w:t>
            </w:r>
          </w:p>
        </w:tc>
      </w:tr>
      <w:tr>
        <w:tblPrEx>
          <w:tblW w:w="8214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92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 w:hAnsi="Arial" w:cs="Arial"/>
                <w:b/>
                <w:sz w:val="24"/>
              </w:rPr>
              <w:t>一级故障</w:t>
            </w:r>
          </w:p>
        </w:tc>
        <w:tc>
          <w:tcPr>
            <w:tcW w:w="628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核心系统设备或关键业务系统瘫痪，造成业务功能完全丧失</w:t>
            </w:r>
          </w:p>
        </w:tc>
      </w:tr>
      <w:tr>
        <w:tblPrEx>
          <w:tblW w:w="8214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92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 w:hAnsi="Arial" w:cs="Arial"/>
                <w:b/>
                <w:sz w:val="24"/>
              </w:rPr>
              <w:t>二级故障</w:t>
            </w:r>
          </w:p>
        </w:tc>
        <w:tc>
          <w:tcPr>
            <w:tcW w:w="628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主要系统设备故障，造成部分关键业务功能间歇性不可用</w:t>
            </w:r>
          </w:p>
        </w:tc>
      </w:tr>
      <w:tr>
        <w:tblPrEx>
          <w:tblW w:w="8214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92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 w:hAnsi="Arial" w:cs="Arial"/>
                <w:b/>
                <w:sz w:val="24"/>
              </w:rPr>
              <w:t>三级故障</w:t>
            </w:r>
          </w:p>
        </w:tc>
        <w:tc>
          <w:tcPr>
            <w:tcW w:w="628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辅助子系统故障，不影响主要业务系统使用</w:t>
            </w:r>
          </w:p>
        </w:tc>
      </w:tr>
    </w:tbl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35" w:name="heading_20"/>
      <w:bookmarkStart w:id="36" w:name="_Toc15201"/>
      <w:r>
        <w:t>响应时限</w:t>
      </w:r>
      <w:bookmarkEnd w:id="35"/>
      <w:bookmarkEnd w:id="36"/>
    </w:p>
    <w:tbl>
      <w:tblPr>
        <w:tblStyle w:val="TableNormal"/>
        <w:tblW w:w="8214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944"/>
        <w:gridCol w:w="2379"/>
        <w:gridCol w:w="1945"/>
        <w:gridCol w:w="1946"/>
      </w:tblGrid>
      <w:tr>
        <w:tblPrEx>
          <w:tblW w:w="8214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945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级别</w:t>
            </w:r>
          </w:p>
        </w:tc>
        <w:tc>
          <w:tcPr>
            <w:tcW w:w="2379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响应要求</w:t>
            </w:r>
          </w:p>
        </w:tc>
        <w:tc>
          <w:tcPr>
            <w:tcW w:w="1945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寄送时限</w:t>
            </w:r>
          </w:p>
        </w:tc>
        <w:tc>
          <w:tcPr>
            <w:tcW w:w="1946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送达时限</w:t>
            </w:r>
          </w:p>
        </w:tc>
      </w:tr>
      <w:tr>
        <w:tblPrEx>
          <w:tblW w:w="8214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94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一级故障</w:t>
            </w:r>
          </w:p>
        </w:tc>
        <w:tc>
          <w:tcPr>
            <w:tcW w:w="237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24小时响应</w:t>
            </w:r>
          </w:p>
        </w:tc>
        <w:tc>
          <w:tcPr>
            <w:tcW w:w="194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≤4小时</w:t>
            </w:r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≤12小时</w:t>
            </w:r>
          </w:p>
        </w:tc>
      </w:tr>
      <w:tr>
        <w:tblPrEx>
          <w:tblW w:w="8214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94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二级故障</w:t>
            </w:r>
          </w:p>
        </w:tc>
        <w:tc>
          <w:tcPr>
            <w:tcW w:w="237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24小时响应</w:t>
            </w:r>
          </w:p>
        </w:tc>
        <w:tc>
          <w:tcPr>
            <w:tcW w:w="194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≤8小时</w:t>
            </w:r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≤24小时</w:t>
            </w:r>
          </w:p>
        </w:tc>
      </w:tr>
      <w:tr>
        <w:tblPrEx>
          <w:tblW w:w="8214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945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三级故障</w:t>
            </w:r>
          </w:p>
        </w:tc>
        <w:tc>
          <w:tcPr>
            <w:tcW w:w="237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24小时响应</w:t>
            </w:r>
          </w:p>
        </w:tc>
        <w:tc>
          <w:tcPr>
            <w:tcW w:w="194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≤24小时</w:t>
            </w:r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≤48小时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20" w:after="120" w:line="288" w:lineRule="auto"/>
        <w:ind w:left="0"/>
        <w:jc w:val="left"/>
        <w:textAlignment w:val="baseline"/>
      </w:pPr>
      <w:r>
        <w:rPr>
          <w:rFonts w:ascii="Arial" w:eastAsia="等线" w:hAnsi="Arial" w:cs="Arial"/>
          <w:b/>
          <w:sz w:val="22"/>
        </w:rPr>
        <w:t>注</w:t>
      </w:r>
      <w:r>
        <w:rPr>
          <w:rStyle w:val="Char"/>
        </w:rPr>
        <w:t>：对在本地有项目备件库房的项目，24小时响应维护现场对备件的需求。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37" w:name="heading_21"/>
      <w:bookmarkStart w:id="38" w:name="_Toc1884"/>
      <w:r>
        <w:t>坏件送修管理</w:t>
      </w:r>
      <w:bookmarkEnd w:id="37"/>
      <w:bookmarkEnd w:id="38"/>
    </w:p>
    <w:p>
      <w:pPr>
        <w:pStyle w:val="a4"/>
        <w:keepNext w:val="0"/>
        <w:keepLines w:val="0"/>
        <w:pageBreakBefore w:val="0"/>
        <w:widowControl w:val="0"/>
        <w:numPr>
          <w:ilvl w:val="0"/>
          <w:numId w:val="1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</w:pPr>
      <w:r>
        <w:t>设备发生故障需要送修，由项目维护人员填写故障原因信息并发起送修申请。</w:t>
      </w:r>
    </w:p>
    <w:p>
      <w:pPr>
        <w:pStyle w:val="a4"/>
        <w:keepNext w:val="0"/>
        <w:keepLines w:val="0"/>
        <w:pageBreakBefore w:val="0"/>
        <w:widowControl w:val="0"/>
        <w:numPr>
          <w:ilvl w:val="0"/>
          <w:numId w:val="1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</w:pPr>
      <w:r>
        <w:t>经项目经理审核通过后，维护人员按要求填写送修单，同时将送修单及坏件发送到备品备件管理员。</w:t>
      </w:r>
    </w:p>
    <w:p>
      <w:pPr>
        <w:pStyle w:val="a4"/>
        <w:keepNext w:val="0"/>
        <w:keepLines w:val="0"/>
        <w:pageBreakBefore w:val="0"/>
        <w:widowControl w:val="0"/>
        <w:numPr>
          <w:ilvl w:val="0"/>
          <w:numId w:val="1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</w:pPr>
      <w:r>
        <w:t>坏件修复后，返回到运维部备品备件库，运维部根据送修单将好件返回到送修方。</w:t>
      </w:r>
    </w:p>
    <w:p>
      <w:pPr>
        <w:pStyle w:val="a4"/>
        <w:keepNext w:val="0"/>
        <w:keepLines w:val="0"/>
        <w:pageBreakBefore w:val="0"/>
        <w:widowControl w:val="0"/>
        <w:numPr>
          <w:ilvl w:val="0"/>
          <w:numId w:val="1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</w:pPr>
      <w:r>
        <w:t>送修过程中发生的物流费用由备件实物发出方负责。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39" w:name="heading_22"/>
      <w:bookmarkStart w:id="40" w:name="_Toc26916"/>
      <w:r>
        <w:t>备品备件报废管理</w:t>
      </w:r>
      <w:bookmarkEnd w:id="39"/>
      <w:bookmarkEnd w:id="40"/>
    </w:p>
    <w:p>
      <w:pPr>
        <w:pStyle w:val="a4"/>
        <w:keepNext w:val="0"/>
        <w:keepLines w:val="0"/>
        <w:pageBreakBefore w:val="0"/>
        <w:widowControl w:val="0"/>
        <w:numPr>
          <w:ilvl w:val="0"/>
          <w:numId w:val="1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</w:pPr>
      <w:r>
        <w:t>当备件无法修复或不具有使用价值时，应及时进行报废处理。</w:t>
      </w:r>
    </w:p>
    <w:p>
      <w:pPr>
        <w:pStyle w:val="a4"/>
        <w:keepNext w:val="0"/>
        <w:keepLines w:val="0"/>
        <w:pageBreakBefore w:val="0"/>
        <w:widowControl w:val="0"/>
        <w:numPr>
          <w:ilvl w:val="0"/>
          <w:numId w:val="1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</w:pPr>
      <w:r>
        <w:t>备件报废由备件所属的项目组发起报废申请，提交运维部审批确认。</w:t>
      </w:r>
    </w:p>
    <w:p>
      <w:pPr>
        <w:pStyle w:val="a4"/>
        <w:keepNext w:val="0"/>
        <w:keepLines w:val="0"/>
        <w:pageBreakBefore w:val="0"/>
        <w:widowControl w:val="0"/>
        <w:numPr>
          <w:ilvl w:val="0"/>
          <w:numId w:val="1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</w:pPr>
      <w:r>
        <w:t>审批通过后由备品备件管理员将废件转入报废库。</w:t>
      </w:r>
    </w:p>
    <w:p>
      <w:pPr>
        <w:pStyle w:val="a4"/>
        <w:keepNext w:val="0"/>
        <w:keepLines w:val="0"/>
        <w:pageBreakBefore w:val="0"/>
        <w:widowControl w:val="0"/>
        <w:numPr>
          <w:ilvl w:val="0"/>
          <w:numId w:val="1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</w:pPr>
      <w:r>
        <w:t>需报废的备品备件如属固定资产，应按照公司固定资产报废流程执行。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41" w:name="_Toc27159"/>
      <w:bookmarkStart w:id="42" w:name="heading_23"/>
      <w:r>
        <w:t>备品备件检测</w:t>
      </w:r>
      <w:bookmarkEnd w:id="41"/>
      <w:bookmarkEnd w:id="42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备品备件检测分为三种：新购备件的验收检测、使用前的可用性检测、定期可用性检测。</w:t>
      </w:r>
    </w:p>
    <w:tbl>
      <w:tblPr>
        <w:tblStyle w:val="TableNormal"/>
        <w:tblW w:w="8214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560"/>
        <w:gridCol w:w="4436"/>
        <w:gridCol w:w="2218"/>
      </w:tblGrid>
      <w:tr>
        <w:tblPrEx>
          <w:tblW w:w="8214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560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检测类型</w:t>
            </w:r>
          </w:p>
        </w:tc>
        <w:tc>
          <w:tcPr>
            <w:tcW w:w="4435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执行方式</w:t>
            </w:r>
          </w:p>
        </w:tc>
        <w:tc>
          <w:tcPr>
            <w:tcW w:w="2218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记录要求</w:t>
            </w:r>
          </w:p>
        </w:tc>
      </w:tr>
      <w:tr>
        <w:tblPrEx>
          <w:tblW w:w="8214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56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新购验收检测</w:t>
            </w:r>
          </w:p>
        </w:tc>
        <w:tc>
          <w:tcPr>
            <w:tcW w:w="443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核对数量、型号、合格证、外观；有功能要求的需单独测试</w:t>
            </w:r>
          </w:p>
        </w:tc>
        <w:tc>
          <w:tcPr>
            <w:tcW w:w="221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填写《备品备件验收记录》</w:t>
            </w:r>
          </w:p>
        </w:tc>
      </w:tr>
      <w:tr>
        <w:tblPrEx>
          <w:tblW w:w="8214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56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使用前可用性检测</w:t>
            </w:r>
          </w:p>
        </w:tc>
        <w:tc>
          <w:tcPr>
            <w:tcW w:w="443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出库前进行可用性检测，邮寄出库需做好防护</w:t>
            </w:r>
          </w:p>
        </w:tc>
        <w:tc>
          <w:tcPr>
            <w:tcW w:w="221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填写《备品备件检测记录》</w:t>
            </w:r>
          </w:p>
        </w:tc>
      </w:tr>
      <w:tr>
        <w:tblPrEx>
          <w:tblW w:w="8214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56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定期可用性检测</w:t>
            </w:r>
          </w:p>
        </w:tc>
        <w:tc>
          <w:tcPr>
            <w:tcW w:w="443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每年进行一次分类全检和抽检，抽检比例≥同类型备件的25%</w:t>
            </w:r>
          </w:p>
        </w:tc>
        <w:tc>
          <w:tcPr>
            <w:tcW w:w="221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填写《备品备件抽检单》</w:t>
            </w:r>
          </w:p>
        </w:tc>
      </w:tr>
    </w:tbl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43" w:name="heading_24"/>
      <w:bookmarkStart w:id="44" w:name="_Toc19981"/>
      <w:r>
        <w:t>检查及考核</w:t>
      </w:r>
      <w:bookmarkEnd w:id="43"/>
      <w:bookmarkEnd w:id="44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45" w:name="_Toc8362"/>
      <w:bookmarkStart w:id="46" w:name="heading_25"/>
      <w:r>
        <w:t>考核指标</w:t>
      </w:r>
      <w:bookmarkEnd w:id="45"/>
      <w:bookmarkEnd w:id="46"/>
    </w:p>
    <w:tbl>
      <w:tblPr>
        <w:tblStyle w:val="TableNormal"/>
        <w:tblW w:w="8214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808"/>
        <w:gridCol w:w="4234"/>
        <w:gridCol w:w="966"/>
        <w:gridCol w:w="1206"/>
      </w:tblGrid>
      <w:tr>
        <w:tblPrEx>
          <w:tblW w:w="8214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808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指标名称</w:t>
            </w:r>
          </w:p>
        </w:tc>
        <w:tc>
          <w:tcPr>
            <w:tcW w:w="4234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计算公式</w:t>
            </w:r>
          </w:p>
        </w:tc>
        <w:tc>
          <w:tcPr>
            <w:tcW w:w="966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目标值</w:t>
            </w:r>
          </w:p>
        </w:tc>
        <w:tc>
          <w:tcPr>
            <w:tcW w:w="1206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测量周期</w:t>
            </w:r>
          </w:p>
        </w:tc>
      </w:tr>
      <w:tr>
        <w:tblPrEx>
          <w:tblW w:w="8214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80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备件可用率</w:t>
            </w:r>
          </w:p>
        </w:tc>
        <w:tc>
          <w:tcPr>
            <w:tcW w:w="423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（领用备件完好数量 / 领用备件总数）× 100%</w:t>
            </w:r>
          </w:p>
        </w:tc>
        <w:tc>
          <w:tcPr>
            <w:tcW w:w="96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≥95%</w:t>
            </w:r>
          </w:p>
        </w:tc>
        <w:tc>
          <w:tcPr>
            <w:tcW w:w="120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年度</w:t>
            </w:r>
          </w:p>
        </w:tc>
      </w:tr>
      <w:tr>
        <w:tblPrEx>
          <w:tblW w:w="8214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808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备件出入库准确率</w:t>
            </w:r>
          </w:p>
        </w:tc>
        <w:tc>
          <w:tcPr>
            <w:tcW w:w="423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</w:pPr>
            <w:r>
              <w:t>（准确出入库记录数 / 总出入库记录数）× 100%</w:t>
            </w:r>
          </w:p>
        </w:tc>
        <w:tc>
          <w:tcPr>
            <w:tcW w:w="96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≥98%</w:t>
            </w:r>
          </w:p>
        </w:tc>
        <w:tc>
          <w:tcPr>
            <w:tcW w:w="120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季度</w:t>
            </w:r>
          </w:p>
        </w:tc>
      </w:tr>
    </w:tbl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47" w:name="heading_26"/>
      <w:bookmarkStart w:id="48" w:name="_Toc21637"/>
      <w:r>
        <w:t>检查机制</w:t>
      </w:r>
      <w:bookmarkEnd w:id="47"/>
      <w:bookmarkEnd w:id="48"/>
    </w:p>
    <w:p>
      <w:pPr>
        <w:pStyle w:val="a4"/>
        <w:numPr>
          <w:ilvl w:val="0"/>
          <w:numId w:val="15"/>
        </w:numPr>
        <w:bidi w:val="0"/>
        <w:ind w:left="425" w:hanging="425" w:leftChars="0" w:firstLineChars="0"/>
      </w:pPr>
      <w:r>
        <w:t>运维部负责全公司备件管理工作的检查和考核，主要检查和考核备件可用率及出入库准确率。</w:t>
      </w:r>
    </w:p>
    <w:p>
      <w:pPr>
        <w:pStyle w:val="a4"/>
        <w:numPr>
          <w:ilvl w:val="0"/>
          <w:numId w:val="15"/>
        </w:numPr>
        <w:bidi w:val="0"/>
        <w:ind w:left="425" w:hanging="425" w:leftChars="0" w:firstLineChars="0"/>
      </w:pPr>
      <w:r>
        <w:t>每年抽查各项目组的备件可用率，检查结果由质量管理部通报。</w:t>
      </w:r>
    </w:p>
    <w:p>
      <w:pPr>
        <w:pStyle w:val="a4"/>
        <w:numPr>
          <w:ilvl w:val="0"/>
          <w:numId w:val="15"/>
        </w:numPr>
        <w:bidi w:val="0"/>
        <w:ind w:left="425" w:hanging="425" w:leftChars="0" w:firstLineChars="0"/>
      </w:pPr>
      <w:r>
        <w:t>对未达标的项目组，应制定改进计划并跟踪落实。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49" w:name="heading_27"/>
      <w:bookmarkStart w:id="50" w:name="_Toc83"/>
      <w:r>
        <w:t>记录</w:t>
      </w:r>
      <w:bookmarkEnd w:id="49"/>
      <w:bookmarkEnd w:id="50"/>
    </w:p>
    <w:tbl>
      <w:tblPr>
        <w:tblStyle w:val="TableNormal"/>
        <w:tblW w:w="8214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4487"/>
        <w:gridCol w:w="1863"/>
        <w:gridCol w:w="1864"/>
      </w:tblGrid>
      <w:tr>
        <w:tblPrEx>
          <w:tblW w:w="8214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4486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记录名称</w:t>
            </w:r>
          </w:p>
        </w:tc>
        <w:tc>
          <w:tcPr>
            <w:tcW w:w="1863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保存部门</w:t>
            </w:r>
          </w:p>
        </w:tc>
        <w:tc>
          <w:tcPr>
            <w:tcW w:w="1864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保存期限</w:t>
            </w:r>
          </w:p>
        </w:tc>
      </w:tr>
      <w:tr>
        <w:tblPrEx>
          <w:tblW w:w="8214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4486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《备品备件出入库单》</w:t>
            </w:r>
          </w:p>
        </w:tc>
        <w:tc>
          <w:tcPr>
            <w:tcW w:w="186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运维部</w:t>
            </w:r>
          </w:p>
        </w:tc>
        <w:tc>
          <w:tcPr>
            <w:tcW w:w="186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3年</w:t>
            </w:r>
          </w:p>
        </w:tc>
      </w:tr>
      <w:tr>
        <w:tblPrEx>
          <w:tblW w:w="8214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4486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《备品备件领用单》</w:t>
            </w:r>
          </w:p>
        </w:tc>
        <w:tc>
          <w:tcPr>
            <w:tcW w:w="186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运维部</w:t>
            </w:r>
          </w:p>
        </w:tc>
        <w:tc>
          <w:tcPr>
            <w:tcW w:w="186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3年</w:t>
            </w:r>
          </w:p>
        </w:tc>
      </w:tr>
      <w:tr>
        <w:tblPrEx>
          <w:tblW w:w="8214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4486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《备品备件验收记录》</w:t>
            </w:r>
          </w:p>
        </w:tc>
        <w:tc>
          <w:tcPr>
            <w:tcW w:w="186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运维部</w:t>
            </w:r>
          </w:p>
        </w:tc>
        <w:tc>
          <w:tcPr>
            <w:tcW w:w="186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3年</w:t>
            </w:r>
          </w:p>
        </w:tc>
      </w:tr>
      <w:tr>
        <w:tblPrEx>
          <w:tblW w:w="8214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4486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《备品备件检测记录》</w:t>
            </w:r>
          </w:p>
        </w:tc>
        <w:tc>
          <w:tcPr>
            <w:tcW w:w="186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运维部</w:t>
            </w:r>
          </w:p>
        </w:tc>
        <w:tc>
          <w:tcPr>
            <w:tcW w:w="186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3年</w:t>
            </w:r>
          </w:p>
        </w:tc>
      </w:tr>
      <w:tr>
        <w:tblPrEx>
          <w:tblW w:w="8214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4486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《备品备件抽检单》</w:t>
            </w:r>
          </w:p>
        </w:tc>
        <w:tc>
          <w:tcPr>
            <w:tcW w:w="186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运维部</w:t>
            </w:r>
          </w:p>
        </w:tc>
        <w:tc>
          <w:tcPr>
            <w:tcW w:w="186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3年</w:t>
            </w:r>
          </w:p>
        </w:tc>
      </w:tr>
      <w:tr>
        <w:tblPrEx>
          <w:tblW w:w="8214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4486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《备品备件报废申请单》</w:t>
            </w:r>
          </w:p>
        </w:tc>
        <w:tc>
          <w:tcPr>
            <w:tcW w:w="186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运维部</w:t>
            </w:r>
          </w:p>
        </w:tc>
        <w:tc>
          <w:tcPr>
            <w:tcW w:w="186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3年</w:t>
            </w:r>
          </w:p>
        </w:tc>
      </w:tr>
    </w:tbl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51" w:name="heading_28"/>
      <w:bookmarkStart w:id="52" w:name="_Toc1913"/>
      <w:r>
        <w:t>附则</w:t>
      </w:r>
      <w:bookmarkEnd w:id="51"/>
      <w:bookmarkEnd w:id="52"/>
    </w:p>
    <w:p>
      <w:pPr>
        <w:pStyle w:val="a4"/>
        <w:numPr>
          <w:ilvl w:val="0"/>
          <w:numId w:val="16"/>
        </w:numPr>
        <w:bidi w:val="0"/>
        <w:ind w:left="425" w:hanging="425" w:leftChars="0" w:firstLineChars="0"/>
      </w:pPr>
      <w:r>
        <w:t>本制度自发布之日起执行，由运维部负责解释与修订。</w:t>
      </w:r>
    </w:p>
    <w:p>
      <w:pPr>
        <w:pStyle w:val="a4"/>
        <w:numPr>
          <w:ilvl w:val="0"/>
          <w:numId w:val="16"/>
        </w:numPr>
        <w:bidi w:val="0"/>
        <w:ind w:left="425" w:hanging="425" w:leftChars="0" w:firstLineChars="0"/>
        <w:rPr>
          <w:rFonts w:hint="default"/>
          <w:lang w:val="en-US" w:eastAsia="zh-CN"/>
        </w:rPr>
      </w:pPr>
      <w:r>
        <w:t>本制度与《运维服务工具管理制度》、《服务数据管理制度》等配套使用。</w:t>
      </w:r>
    </w:p>
    <w:sectPr>
      <w:headerReference w:type="default" r:id="rId7"/>
      <w:footerReference w:type="default" r:id="rId8"/>
      <w:pgSz w:w="11906" w:h="16838"/>
      <w:pgMar w:top="1417" w:right="1800" w:bottom="1440" w:left="1800" w:header="1140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Foo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single" w:sz="4" w:space="1" w:color="auto"/>
      </w:pBdr>
      <w:tabs>
        <w:tab w:val="left" w:pos="335"/>
        <w:tab w:val="right" w:pos="8426"/>
      </w:tabs>
      <w:jc w:val="right"/>
      <w:rPr>
        <w:rFonts w:eastAsiaTheme="minorEastAsia" w:hint="eastAsia"/>
        <w:lang w:eastAsia="zh-CN"/>
      </w:rPr>
    </w:pP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>桐乡华数广电网络有限公司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A2D7D7BF"/>
    <w:multiLevelType w:val="singleLevel"/>
    <w:tmpl w:val="A2D7D7BF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C346D34A"/>
    <w:multiLevelType w:val="singleLevel"/>
    <w:tmpl w:val="C346D34A"/>
    <w:lvl w:ilvl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3">
    <w:nsid w:val="C9E38A24"/>
    <w:multiLevelType w:val="singleLevel"/>
    <w:tmpl w:val="C9E38A24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E56C076B"/>
    <w:multiLevelType w:val="singleLevel"/>
    <w:tmpl w:val="E56C076B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F825CD53"/>
    <w:multiLevelType w:val="singleLevel"/>
    <w:tmpl w:val="F825CD53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17B44E19"/>
    <w:multiLevelType w:val="singleLevel"/>
    <w:tmpl w:val="17B44E19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2FBF02B4"/>
    <w:multiLevelType w:val="singleLevel"/>
    <w:tmpl w:val="2FBF02B4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">
    <w:nsid w:val="3678C24B"/>
    <w:multiLevelType w:val="singleLevel"/>
    <w:tmpl w:val="3678C24B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9">
    <w:nsid w:val="3D65F84A"/>
    <w:multiLevelType w:val="singleLevel"/>
    <w:tmpl w:val="3D65F84A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0">
    <w:nsid w:val="4673C9DF"/>
    <w:multiLevelType w:val="singleLevel"/>
    <w:tmpl w:val="4673C9DF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1">
    <w:nsid w:val="5474FE83"/>
    <w:multiLevelType w:val="singleLevel"/>
    <w:tmpl w:val="5474FE83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2">
    <w:nsid w:val="580A42DA"/>
    <w:multiLevelType w:val="singleLevel"/>
    <w:tmpl w:val="580A42DA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3">
    <w:nsid w:val="73766C3C"/>
    <w:multiLevelType w:val="singleLevel"/>
    <w:tmpl w:val="73766C3C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4">
    <w:nsid w:val="770BEF08"/>
    <w:multiLevelType w:val="singleLevel"/>
    <w:tmpl w:val="770BEF08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5">
    <w:nsid w:val="7F2555D0"/>
    <w:multiLevelType w:val="singleLevel"/>
    <w:tmpl w:val="7F2555D0"/>
    <w:lvl w:ilvl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num w:numId="1">
    <w:abstractNumId w:val="0"/>
  </w:num>
  <w:num w:numId="2">
    <w:abstractNumId w:val="10"/>
  </w:num>
  <w:num w:numId="3">
    <w:abstractNumId w:val="5"/>
  </w:num>
  <w:num w:numId="4">
    <w:abstractNumId w:val="6"/>
  </w:num>
  <w:num w:numId="5">
    <w:abstractNumId w:val="13"/>
  </w:num>
  <w:num w:numId="6">
    <w:abstractNumId w:val="8"/>
  </w:num>
  <w:num w:numId="7">
    <w:abstractNumId w:val="7"/>
  </w:num>
  <w:num w:numId="8">
    <w:abstractNumId w:val="4"/>
  </w:num>
  <w:num w:numId="9">
    <w:abstractNumId w:val="2"/>
  </w:num>
  <w:num w:numId="10">
    <w:abstractNumId w:val="15"/>
  </w:num>
  <w:num w:numId="11">
    <w:abstractNumId w:val="3"/>
  </w:num>
  <w:num w:numId="12">
    <w:abstractNumId w:val="14"/>
  </w:num>
  <w:num w:numId="13">
    <w:abstractNumId w:val="12"/>
  </w:num>
  <w:num w:numId="14">
    <w:abstractNumId w:val="9"/>
  </w:num>
  <w:num w:numId="15">
    <w:abstractNumId w:val="1"/>
  </w:num>
  <w:num w:numId="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 w:qFormat="1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customStyle="1" w:styleId="a">
    <w:name w:val="柴_文档修订信息"/>
    <w:basedOn w:val="Normal"/>
    <w:qFormat/>
    <w:pPr>
      <w:widowControl w:val="0"/>
      <w:ind w:firstLine="470" w:firstLineChars="200"/>
      <w:jc w:val="center"/>
    </w:pPr>
    <w:rPr>
      <w:rFonts w:ascii="Arial" w:hAnsi="Arial" w:hint="eastAsia"/>
      <w:b/>
      <w:bCs/>
      <w:sz w:val="24"/>
      <w:lang w:eastAsia="zh-CN"/>
    </w:rPr>
  </w:style>
  <w:style w:type="paragraph" w:customStyle="1" w:styleId="a0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1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2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2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2"/>
    <w:link w:val="2Char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2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3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table" w:customStyle="1" w:styleId="TableNormal1">
    <w:name w:val="Table Normal_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4">
    <w:name w:val="柴_正文_无缩进"/>
    <w:basedOn w:val="Normal"/>
    <w:link w:val="Char0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2"/>
    <w:qFormat/>
    <w:rPr>
      <w:rFonts w:ascii="Arial" w:eastAsia="宋体" w:hAnsi="Arial"/>
      <w:sz w:val="24"/>
      <w:lang w:eastAsia="zh-CN"/>
    </w:rPr>
  </w:style>
  <w:style w:type="table" w:customStyle="1" w:styleId="TableNormal00">
    <w:name w:val="Table Normal_0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har0">
    <w:name w:val="柴_正文_无缩进 Char"/>
    <w:link w:val="a4"/>
    <w:qFormat/>
    <w:rPr>
      <w:rFonts w:ascii="Arial" w:hAnsi="Arial"/>
      <w:sz w:val="24"/>
      <w:lang w:eastAsia="zh-CN"/>
    </w:rPr>
  </w:style>
  <w:style w:type="character" w:customStyle="1" w:styleId="2Char">
    <w:name w:val="柴_标题2 Char"/>
    <w:link w:val="2"/>
    <w:qFormat/>
    <w:rPr>
      <w:rFonts w:ascii="Arial" w:eastAsia="宋体" w:hAnsi="Arial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numbering" Target="numbering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header" Target="header1.xml" /><Relationship Id="rId8" Type="http://schemas.openxmlformats.org/officeDocument/2006/relationships/footer" Target="footer1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3248</Words>
  <Characters>3415</Characters>
  <Application>Microsoft Office Word</Application>
  <DocSecurity>0</DocSecurity>
  <Lines>0</Lines>
  <Paragraphs>0</Paragraphs>
  <ScaleCrop>false</ScaleCrop>
  <Company/>
  <LinksUpToDate>false</LinksUpToDate>
  <CharactersWithSpaces>3529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郝宇</cp:lastModifiedBy>
  <cp:revision>1</cp:revision>
  <dcterms:created xsi:type="dcterms:W3CDTF">2025-09-03T14:43:00Z</dcterms:created>
  <dcterms:modified xsi:type="dcterms:W3CDTF">2026-04-24T18:14:01Z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2052-12.1.0.25865</vt:lpwstr>
  </property>
  <property fmtid="{D5CDD505-2E9C-101B-9397-08002B2CF9AE}" pid="4" name="KSOTemplateDocerSaveRecord">
    <vt:lpwstr>eyJoZGlkIjoiZWI4NmUzMGY2ODA3MDc4ZTFlMjZjZTAyMjM0NmVmODgiLCJ1c2VySWQiOiIxMDc1MzgyOSJ9</vt:lpwstr>
  </property>
</Properties>
</file>