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80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886"/>
      <w:r>
        <w:rPr>
          <w:rFonts w:hint="eastAsia"/>
          <w:lang w:val="en-US" w:eastAsia="zh-CN"/>
        </w:rPr>
        <w:t>最终软件库管理制度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Start w:id="2" w:name="_GoBack" w:colFirst="0" w:colLast="5"/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End w:id="2"/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_Toc30807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_Toc11886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_Toc7412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_Toc2804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_Toc4208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_Toc23800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_Toc23800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运维部</w:t>
          </w:r>
          <w:r>
            <w:tab/>
          </w:r>
          <w:r>
            <w:fldChar w:fldCharType="begin"/>
          </w:r>
          <w:r>
            <w:instrText xml:space="preserve"> PAGEREF _Toc15900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质量管理部</w:t>
          </w:r>
          <w:r>
            <w:tab/>
          </w:r>
          <w:r>
            <w:fldChar w:fldCharType="begin"/>
          </w:r>
          <w:r>
            <w:instrText xml:space="preserve"> PAGEREF _Toc28008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_Toc12937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_Toc18567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管理流程</w:t>
          </w:r>
          <w:r>
            <w:tab/>
          </w:r>
          <w:r>
            <w:fldChar w:fldCharType="begin"/>
          </w:r>
          <w:r>
            <w:instrText xml:space="preserve"> PAGEREF _Toc31513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软件入库流程</w:t>
          </w:r>
          <w:r>
            <w:tab/>
          </w:r>
          <w:r>
            <w:fldChar w:fldCharType="begin"/>
          </w:r>
          <w:r>
            <w:instrText xml:space="preserve"> PAGEREF _Toc22447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_Toc12087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软件出库与发布流程</w:t>
          </w:r>
          <w:r>
            <w:tab/>
          </w:r>
          <w:r>
            <w:fldChar w:fldCharType="begin"/>
          </w:r>
          <w:r>
            <w:instrText xml:space="preserve"> PAGEREF _Toc12087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版本控制与变更管理</w:t>
          </w:r>
          <w:r>
            <w:tab/>
          </w:r>
          <w:r>
            <w:fldChar w:fldCharType="begin"/>
          </w:r>
          <w:r>
            <w:instrText xml:space="preserve"> PAGEREF _Toc16949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安全与访问控制</w:t>
          </w:r>
          <w:r>
            <w:tab/>
          </w:r>
          <w:r>
            <w:fldChar w:fldCharType="begin"/>
          </w:r>
          <w:r>
            <w:instrText xml:space="preserve"> PAGEREF _Toc22577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访问控制策略</w:t>
          </w:r>
          <w:r>
            <w:tab/>
          </w:r>
          <w:r>
            <w:fldChar w:fldCharType="begin"/>
          </w:r>
          <w:r>
            <w:instrText xml:space="preserve"> PAGEREF _Toc5704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权限角色定义</w:t>
          </w:r>
          <w:r>
            <w:tab/>
          </w:r>
          <w:r>
            <w:fldChar w:fldCharType="begin"/>
          </w:r>
          <w:r>
            <w:instrText xml:space="preserve"> PAGEREF _Toc21774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审计与监控</w:t>
          </w:r>
          <w:r>
            <w:tab/>
          </w:r>
          <w:r>
            <w:fldChar w:fldCharType="begin"/>
          </w:r>
          <w:r>
            <w:instrText xml:space="preserve"> PAGEREF _Toc524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备份与恢复</w:t>
          </w:r>
          <w:r>
            <w:tab/>
          </w:r>
          <w:r>
            <w:fldChar w:fldCharType="begin"/>
          </w:r>
          <w:r>
            <w:instrText xml:space="preserve"> PAGEREF _Toc464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审计与改进</w:t>
          </w:r>
          <w:r>
            <w:tab/>
          </w:r>
          <w:r>
            <w:fldChar w:fldCharType="begin"/>
          </w:r>
          <w:r>
            <w:instrText xml:space="preserve"> PAGEREF _Toc26172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_Toc26111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</w:t>
          </w:r>
          <w:r>
            <w:tab/>
          </w:r>
          <w:r>
            <w:fldChar w:fldCharType="begin"/>
          </w:r>
          <w:r>
            <w:instrText xml:space="preserve"> PAGEREF _Toc5904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7412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为规范公司最终软件库的管理，确保生产环境中使用的软件版本统一、可靠、可追溯，防止未经授权的软件发布与变更，保障系统安全与稳定运行，特制定本制度。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2804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本制度适用于公司所有用于生产环境的软件资产，包括但不限于：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系统软件（操作系统、数据库、中间件等）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应用软件（业务系统、工具软件等）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脚本、配置文件及相关依赖组件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4208"/>
      <w:r>
        <w:rPr>
          <w:rFonts w:hint="default"/>
          <w:lang w:val="en-US" w:eastAsia="zh-CN"/>
        </w:rPr>
        <w:t>定义与术语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最终软件库：存放所有经测试验证、批准可用于生产环境的软件版本的中心存储库。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软件资产：指公司拥有或使用的各类软件程序、安装包、补丁、许可证及相关文档。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发布版本：经过完整测试、评审并批准上线运行的软件版本。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3800"/>
      <w:r>
        <w:rPr>
          <w:rFonts w:hint="default"/>
          <w:lang w:val="en-US" w:eastAsia="zh-CN"/>
        </w:rPr>
        <w:t>职责分工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5900"/>
      <w:r>
        <w:rPr>
          <w:rFonts w:hint="default"/>
          <w:lang w:val="en-US" w:eastAsia="zh-CN"/>
        </w:rPr>
        <w:t>运维部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负责最终软件库的规划、建设与日常维护；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负责软件入库审批、版本控制与发布管理；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负责制定并监督执行软件库访问控制策略与安全控制措施；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定期组织软件库审计与清理。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8008"/>
      <w:r>
        <w:rPr>
          <w:rFonts w:hint="default"/>
          <w:lang w:val="en-US" w:eastAsia="zh-CN"/>
        </w:rPr>
        <w:t>质量管理部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负责软件版本的测试验证，出具测试报告；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确认软件符合上线标准后，提交入库申请。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2937"/>
      <w:r>
        <w:rPr>
          <w:rFonts w:hint="eastAsia"/>
          <w:lang w:val="en-US" w:eastAsia="zh-CN"/>
        </w:rPr>
        <w:t>研发部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提供符合发布标准的软件版本及相关文档；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配合完成软件入库流程。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8567"/>
      <w:r>
        <w:rPr>
          <w:rFonts w:hint="eastAsia"/>
          <w:lang w:val="en-US" w:eastAsia="zh-CN"/>
        </w:rPr>
        <w:t>运维工程师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具体执行软件入库、出库、版本标签管理；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维护软件库目录结构与访问权限，严格执行访问控制策略；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记录软件变更、使用日志及所有访问操作记录。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31513"/>
      <w:r>
        <w:rPr>
          <w:rFonts w:hint="default"/>
          <w:lang w:val="en-US" w:eastAsia="zh-CN"/>
        </w:rPr>
        <w:t>管理流程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2447"/>
      <w:r>
        <w:rPr>
          <w:rFonts w:hint="default"/>
          <w:lang w:val="en-US" w:eastAsia="zh-CN"/>
        </w:rPr>
        <w:t>软件入库流程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提交申请：开发/测试部门填写《软件入库申请表》，附测试报告、版本说明及安装文档。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审批流程：经部门负责人、质量管理部、运维管理部门审批。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入库操作：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核对无误后，将软件存入最终软件库，并打上版本标签。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通知发布：入库后通知相关使用部门，更新软件目录。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2087"/>
      <w:r>
        <w:rPr>
          <w:rFonts w:hint="default"/>
          <w:lang w:val="en-US" w:eastAsia="zh-CN"/>
        </w:rPr>
        <w:t>软件出库与发布流程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出库申请：使用部门提出软件出库申请，说明用途与环境。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审批与授权：经运维管理部门审批后，由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执行出库操作。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发布记录：记录发布版本、时间、目标环境及负责人。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6949"/>
      <w:r>
        <w:rPr>
          <w:rFonts w:hint="default"/>
          <w:lang w:val="en-US" w:eastAsia="zh-CN"/>
        </w:rPr>
        <w:t>版本控制与变更管理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所有软件版本均需具有唯一标识，禁止覆盖更新；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软件变更（含补丁、升级）需重新走入库流程；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历史版本应保留可追溯，重要版本永久存档。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2577"/>
      <w:r>
        <w:rPr>
          <w:rFonts w:hint="default"/>
          <w:lang w:val="en-US" w:eastAsia="zh-CN"/>
        </w:rPr>
        <w:t>安全与访问控制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5704"/>
      <w:r>
        <w:rPr>
          <w:rFonts w:hint="default"/>
          <w:lang w:val="en-US" w:eastAsia="zh-CN"/>
        </w:rPr>
        <w:t>访问控制策略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权限分级：根据角色设置“只读”、“提交”、“审批”、“管理”等不同权限级别。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最小权限原则：用户仅被授予完成本职工作所必需的最小权限。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审批授权：所有权限的申请、变更和撤销均需通过书面或电子流程审批。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账号与认证：禁止使用共享账号，必须使用个人实名账号访问，并启用强认证机制。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1774"/>
      <w:r>
        <w:rPr>
          <w:rFonts w:hint="default"/>
          <w:lang w:val="en-US" w:eastAsia="zh-CN"/>
        </w:rPr>
        <w:t>权限角色定义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：拥有所有权限，负责用户权限的配置与管理。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开发人员：拥有指定项目或目录的软件提交和读取权限。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测试人员：拥有软件读取权限，用于验证测试。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运维人员：拥有软件出库（发布）权限及生产环境对应软件的读取权限。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其他人员：默认仅拥有经审批后的只读权限。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524"/>
      <w:r>
        <w:rPr>
          <w:rFonts w:hint="default"/>
          <w:lang w:val="en-US" w:eastAsia="zh-CN"/>
        </w:rPr>
        <w:t>审计与监控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所有对最终软件库的访问、上传、下载、删除等操作均须记录完整日志。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应定期（每月）审查访问日志，发现并处理异常操作。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运维部应每季度对权限设置进行一次合规性评审。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464"/>
      <w:r>
        <w:rPr>
          <w:rFonts w:hint="default"/>
          <w:lang w:val="en-US" w:eastAsia="zh-CN"/>
        </w:rPr>
        <w:t>备份与恢复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最终软件库每月进行一次全量备份，每周进行一次增量备份，备份数据应异地安全保存。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每半年至少进行一次备份恢复演练，确保备份有效性。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26172"/>
      <w:r>
        <w:rPr>
          <w:rFonts w:hint="default"/>
          <w:lang w:val="en-US" w:eastAsia="zh-CN"/>
        </w:rPr>
        <w:t>审计与改进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每半年对软件库进行一次全面的合规性与安全性审计。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根据审计结果和用户反馈，持续优化访问控制策略与管理流程。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6111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3"/>
        <w:gridCol w:w="1056"/>
        <w:gridCol w:w="4139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软件合规性审计次数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</w:t>
            </w: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1次</w:t>
            </w:r>
          </w:p>
        </w:tc>
        <w:tc>
          <w:tcPr>
            <w:tcW w:w="4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数量，软件库审计报告数量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2" w:name="_Toc5904"/>
      <w:r>
        <w:rPr>
          <w:rFonts w:hint="default"/>
          <w:lang w:val="en-US" w:eastAsia="zh-CN"/>
        </w:rPr>
        <w:t>附则</w:t>
      </w:r>
      <w:bookmarkEnd w:id="2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本制度自发布之日起执行，由运维部负责解释与修订。</w:t>
      </w:r>
    </w:p>
    <w:p>
      <w:pPr>
        <w:pStyle w:val="a1"/>
        <w:rPr>
          <w:rFonts w:hint="default"/>
          <w:lang w:val="en-US" w:eastAsia="zh-CN"/>
        </w:rPr>
      </w:pP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1626</Words>
  <Characters>1734</Characters>
  <Application>Microsoft Office Word</Application>
  <DocSecurity>0</DocSecurity>
  <Lines>0</Lines>
  <Paragraphs>0</Paragraphs>
  <ScaleCrop>false</ScaleCrop>
  <Company/>
  <LinksUpToDate>false</LinksUpToDate>
  <CharactersWithSpaces>1820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