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37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282"/>
      <w:r>
        <w:rPr>
          <w:rFonts w:hint="eastAsia"/>
          <w:lang w:val="en-US" w:eastAsia="zh-CN"/>
        </w:rPr>
        <w:t>最终软件库应用情况说明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_Toc4379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_Toc11282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最终软件库应用情况说明</w:t>
          </w:r>
          <w:r>
            <w:tab/>
          </w:r>
          <w:r>
            <w:fldChar w:fldCharType="begin"/>
          </w:r>
          <w:r>
            <w:instrText xml:space="preserve"> PAGEREF _Toc11282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_Toc10460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管理体系建设与职责落实情况</w:t>
          </w:r>
          <w:r>
            <w:tab/>
          </w:r>
          <w:r>
            <w:fldChar w:fldCharType="begin"/>
          </w:r>
          <w:r>
            <w:instrText xml:space="preserve"> PAGEREF _Toc10460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_Toc17118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制度落地与规范明确</w:t>
          </w:r>
          <w:r>
            <w:tab/>
          </w:r>
          <w:r>
            <w:fldChar w:fldCharType="begin"/>
          </w:r>
          <w:r>
            <w:instrText xml:space="preserve"> PAGEREF _Toc17118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_Toc5989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跨部门职责协同机制建立</w:t>
          </w:r>
          <w:r>
            <w:tab/>
          </w:r>
          <w:r>
            <w:fldChar w:fldCharType="begin"/>
          </w:r>
          <w:r>
            <w:instrText xml:space="preserve"> PAGEREF _Toc5989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_Toc30491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最终软件库运行机制与实施情况</w:t>
          </w:r>
          <w:r>
            <w:tab/>
          </w:r>
          <w:r>
            <w:fldChar w:fldCharType="begin"/>
          </w:r>
          <w:r>
            <w:instrText xml:space="preserve"> PAGEREF _Toc30491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库体建设与分类存储</w:t>
          </w:r>
          <w:r>
            <w:tab/>
          </w:r>
          <w:r>
            <w:fldChar w:fldCharType="begin"/>
          </w:r>
          <w:r>
            <w:instrText xml:space="preserve"> PAGEREF _Toc12617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核心流程闭环执行</w:t>
          </w:r>
          <w:r>
            <w:tab/>
          </w:r>
          <w:r>
            <w:fldChar w:fldCharType="begin"/>
          </w:r>
          <w:r>
            <w:instrText xml:space="preserve"> PAGEREF _Toc25405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_Toc9877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软件入库流程</w:t>
          </w:r>
          <w:r>
            <w:tab/>
          </w:r>
          <w:r>
            <w:fldChar w:fldCharType="begin"/>
          </w:r>
          <w:r>
            <w:instrText xml:space="preserve"> PAGEREF _Toc9877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软件出库与发布控制</w:t>
          </w:r>
          <w:r>
            <w:tab/>
          </w:r>
          <w:r>
            <w:fldChar w:fldCharType="begin"/>
          </w:r>
          <w:r>
            <w:instrText xml:space="preserve"> PAGEREF _Toc8420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_Toc13603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安全与访问控制</w:t>
          </w:r>
          <w:r>
            <w:tab/>
          </w:r>
          <w:r>
            <w:fldChar w:fldCharType="begin"/>
          </w:r>
          <w:r>
            <w:instrText xml:space="preserve"> PAGEREF _Toc13603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考核指标达成与审计改进情况</w:t>
          </w:r>
          <w:r>
            <w:tab/>
          </w:r>
          <w:r>
            <w:fldChar w:fldCharType="begin"/>
          </w:r>
          <w:r>
            <w:instrText xml:space="preserve"> PAGEREF _Toc15950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_Toc8899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备份与恢复保障</w:t>
          </w:r>
          <w:r>
            <w:tab/>
          </w:r>
          <w:r>
            <w:fldChar w:fldCharType="begin"/>
          </w:r>
          <w:r>
            <w:instrText xml:space="preserve"> PAGEREF _Toc8899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_Toc16500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实施成效与后续计划</w:t>
          </w:r>
          <w:r>
            <w:tab/>
          </w:r>
          <w:r>
            <w:fldChar w:fldCharType="begin"/>
          </w:r>
          <w:r>
            <w:instrText xml:space="preserve"> PAGEREF _Toc16500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_Toc25959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主要成效</w:t>
          </w:r>
          <w:r>
            <w:tab/>
          </w:r>
          <w:r>
            <w:fldChar w:fldCharType="begin"/>
          </w:r>
          <w:r>
            <w:instrText xml:space="preserve"> PAGEREF _Toc25959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_Toc7914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持续优化方向</w:t>
          </w:r>
          <w:r>
            <w:tab/>
          </w:r>
          <w:r>
            <w:fldChar w:fldCharType="begin"/>
          </w:r>
          <w:r>
            <w:instrText xml:space="preserve"> PAGEREF _Toc7914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_Toc20982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总结</w:t>
          </w:r>
          <w:r>
            <w:tab/>
          </w:r>
          <w:r>
            <w:fldChar w:fldCharType="begin"/>
          </w:r>
          <w:r>
            <w:instrText xml:space="preserve"> PAGEREF _Toc20982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贯彻落实《最终软件库管理制度》（文件编号：TXHS-08-05），实现对生产环境软件资产的规范化、安全化与全生命周期管理，确保软件版本统一、可靠、可追溯，公司自制度发布以来，已系统性地推进并完成了最终软件库的建设与运营工作。截至2025年11月</w:t>
      </w:r>
      <w:r>
        <w:rPr>
          <w:rFonts w:hint="eastAsia"/>
          <w:lang w:val="en-US" w:eastAsia="zh-CN"/>
        </w:rPr>
        <w:t>，取得了良好效果。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10460"/>
      <w:r>
        <w:rPr>
          <w:rFonts w:hint="default"/>
          <w:lang w:val="en-US" w:eastAsia="zh-CN"/>
        </w:rPr>
        <w:t>管理体系建设与职责落实情况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17118"/>
      <w:r>
        <w:rPr>
          <w:rFonts w:hint="default"/>
          <w:lang w:val="en-US" w:eastAsia="zh-CN"/>
        </w:rPr>
        <w:t>制度落地与规范明确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已依据制度要求，完成最终软件库的规划设计，明确了软件资产从“开发测试→申请入库→审批验证→归档存储→授权出库→版本回溯”的端到端管理流程，并制定了配套的《软件入库申请表》及操作细则。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5989"/>
      <w:r>
        <w:rPr>
          <w:rFonts w:hint="default"/>
          <w:lang w:val="en-US" w:eastAsia="zh-CN"/>
        </w:rPr>
        <w:t>跨部门职责协同机制建立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运维部作为归口管理部门，已负责完成软件库的搭建、日常维护及流程管控。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质量管理部与研发部的职责接口已清晰界定，形成了“研发提交-测试验证-运维入库”的协同工作流。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运维工程师作为关键执行角色，已落实软件的具体入库、出库、版本标签管理及日志记录职责。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491"/>
      <w:r>
        <w:rPr>
          <w:rFonts w:hint="default"/>
          <w:lang w:val="en-US" w:eastAsia="zh-CN"/>
        </w:rPr>
        <w:t>最终软件库运行机制与实施情况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2617"/>
      <w:r>
        <w:rPr>
          <w:rFonts w:hint="default"/>
          <w:lang w:val="en-US" w:eastAsia="zh-CN"/>
        </w:rPr>
        <w:t>库体建设与分类存储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已建立集中、受控的最终软件库存储体系（基于专用存储服务器或版本控制系统），严格按照制度定义的范畴，对系统软件、应用软件、脚本及配置文件等进行分类存储，确保物理与逻辑结构清晰。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5405"/>
      <w:r>
        <w:rPr>
          <w:rFonts w:hint="default"/>
          <w:lang w:val="en-US" w:eastAsia="zh-CN"/>
        </w:rPr>
        <w:t>核心流程闭环执行</w:t>
      </w:r>
      <w:bookmarkEnd w:id="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9877"/>
      <w:r>
        <w:rPr>
          <w:rFonts w:hint="default"/>
          <w:lang w:val="en-US" w:eastAsia="zh-CN"/>
        </w:rPr>
        <w:t>软件入库流程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所有拟上线生产环境的软件版本，均严格执行“申请-测试-审批-入库”流程。截至1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月，累计完成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次重要软件版本（含补丁）的合规入库，入库资料完整，版本标识唯一。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8420"/>
      <w:r>
        <w:rPr>
          <w:rFonts w:hint="default"/>
          <w:lang w:val="en-US" w:eastAsia="zh-CN"/>
        </w:rPr>
        <w:t>软件出库与发布控制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生产环境的所有软件部署与升级，均来源于最终软件库，并通过出库申请与审批记录实现发布溯源，有效杜绝了未经授权的软件变更。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版本控制与历史存档：严格遵循“禁止覆盖更新”原则，所有历史版本均得以保留，确保了在必要时可快速、准确地进行版本回退或问题追溯。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13603"/>
      <w:r>
        <w:rPr>
          <w:rFonts w:hint="default"/>
          <w:lang w:val="en-US" w:eastAsia="zh-CN"/>
        </w:rPr>
        <w:t>安全与访问控制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权限分级管理：已依据制度定义的“运维工程师、开发人员、测试人员、运维人员”等角色，配置了差异化的“读、写、发布、管理”权限，遵循最小权限原则。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操作审计常态化：启用了完整的操作日志功能，记录所有访问、上传、下载行为。运维工程师按月审查日志，运维部按季进行权限合规性评审，安全管理机制运行有效。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15950"/>
      <w:r>
        <w:rPr>
          <w:rFonts w:hint="default"/>
          <w:lang w:val="en-US" w:eastAsia="zh-CN"/>
        </w:rPr>
        <w:t>考核指标达成与审计改进情况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制度设定的核心考核指标为“软件合规性审计次数”，目标为每半年不少于1次。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上半年审计：已于6月完成首次最终软件库全面合规性审计，审计范围涵盖库存软件合规性、流程执行符合度、权限设置合理性及备份有效性，并形成了书面审计报告。针对审计中发现的部分流程记录细节问题，已完成整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2025年</w:t>
      </w:r>
      <w:r>
        <w:rPr>
          <w:rFonts w:hint="eastAsia"/>
          <w:lang w:val="en-US" w:eastAsia="zh-CN"/>
        </w:rPr>
        <w:t>下</w:t>
      </w:r>
      <w:r>
        <w:rPr>
          <w:rFonts w:hint="default"/>
          <w:lang w:val="en-US" w:eastAsia="zh-CN"/>
        </w:rPr>
        <w:t>半年审计：</w:t>
      </w:r>
      <w:r>
        <w:rPr>
          <w:rFonts w:hint="eastAsia"/>
          <w:lang w:val="en-US" w:eastAsia="zh-CN"/>
        </w:rPr>
        <w:t>于12月完成第二次最终软件库合规性审计，审计范围在上半年基础上进一步扩展，包括：软件版本一致性核查、入库/出库流程完整性检查、权限变更记录复核及备份恢复有效性验证。审计结论显示：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库存软件均具备合规授权，版本标识清晰、可追溯；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入库、出库流程执行规范，申请与审批记录完整；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权限配置符合最小权限原则，无越权操作行为；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备份策略执行到位，备份数据完整可用。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本次审计未发现重大不合规项，针对个别流程记录的细节优化建议已纳入整改计划。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8899"/>
      <w:r>
        <w:rPr>
          <w:rFonts w:hint="default"/>
          <w:lang w:val="en-US" w:eastAsia="zh-CN"/>
        </w:rPr>
        <w:t>备份与恢复保障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建立并执行严格的备份策略，对最终软件库实施每月全量备份与每周增量备份，备份数据异地保存。已于2025年下半年成功组织了一次备份恢复演练，验证了备份数据的完整性与可恢复性，保障了软件资产的安全底线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6500"/>
      <w:r>
        <w:rPr>
          <w:rFonts w:hint="default"/>
          <w:lang w:val="en-US" w:eastAsia="zh-CN"/>
        </w:rPr>
        <w:t>实施成效与后续计划</w:t>
      </w:r>
      <w:bookmarkEnd w:id="1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5959"/>
      <w:r>
        <w:rPr>
          <w:rFonts w:hint="default"/>
          <w:lang w:val="en-US" w:eastAsia="zh-CN"/>
        </w:rPr>
        <w:t>主要成效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版本一致性得到保障：生产环境软件来源唯一，彻底解决了以往因版本混乱导致的部署差异问题。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安全性与合规性提升：通过严格的权限与流程控制，显著降低了软件被非法篡改或误操作的风险。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运维效率与可追溯性增强：标准化的入库、出库流程与完善的版本历史，极大提升了软件部署、升级与故障排查的效率。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7914"/>
      <w:r>
        <w:rPr>
          <w:rFonts w:hint="default"/>
          <w:lang w:val="en-US" w:eastAsia="zh-CN"/>
        </w:rPr>
        <w:t>持续优化方向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计划引入更先进的软件资产管理与生命周期（SCM）工具，进一步提升自动化管理与可视化水平。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将结合项目实践，细化对开源软件组件、第三方商业软件的许可证与漏洞管理要求。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定期开展制度与流程培训，强化全员对最终软件库重要性的认知与合规操作意识。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20982"/>
      <w:r>
        <w:rPr>
          <w:rFonts w:hint="default"/>
          <w:lang w:val="en-US" w:eastAsia="zh-CN"/>
        </w:rPr>
        <w:t>总结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，《最终软件库管理制度》已得到有效执行，相关的管理体系、技术平台与操作流程均已建立并稳定运行。最终软件库作为公司核心软件资产的“单一可信源”，在保障系统稳定、提升运维规范性及满足安全合规要求方面，正发挥日益关键的基础支撑作用。未来，运维部将继续牵头，推动该体系的持续优化与深入应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2025年度共完成2次软件合规性审计（6月、12月），达成每半年不少于1次的目标，整体达成率100%。通过持续审计与改进，最终软件库的管理规范性、版本一致性与安全可控性得到有效保障。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0ADF1199"/>
    <w:multiLevelType w:val="singleLevel"/>
    <w:tmpl w:val="0ADF119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2103</Words>
  <Characters>2230</Characters>
  <Application>Microsoft Office Word</Application>
  <DocSecurity>0</DocSecurity>
  <Lines>0</Lines>
  <Paragraphs>0</Paragraphs>
  <ScaleCrop>false</ScaleCrop>
  <Company/>
  <LinksUpToDate>false</LinksUpToDate>
  <CharactersWithSpaces>2296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