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138B2">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74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210AE0A1">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9604"/>
      <w:r>
        <w:rPr>
          <w:rFonts w:hint="eastAsia"/>
          <w:lang w:val="en-US" w:eastAsia="zh-CN"/>
        </w:rPr>
        <w:t>公安视频监控项目运维项目</w:t>
      </w:r>
      <w:r>
        <w:rPr>
          <w:rFonts w:hint="eastAsia"/>
          <w:lang w:val="en-US" w:eastAsia="zh-CN"/>
        </w:rPr>
        <w:br w:type="textWrapping"/>
      </w:r>
      <w:r>
        <w:rPr>
          <w:rFonts w:hint="eastAsia"/>
          <w:lang w:val="en-US" w:eastAsia="zh-CN"/>
        </w:rPr>
        <w:t>交付</w:t>
      </w:r>
      <w:bookmarkStart w:id="29" w:name="_GoBack"/>
      <w:bookmarkEnd w:id="29"/>
      <w:r>
        <w:rPr>
          <w:rFonts w:hint="eastAsia"/>
          <w:lang w:val="en-US" w:eastAsia="zh-CN"/>
        </w:rPr>
        <w:t>方案</w:t>
      </w:r>
      <w:bookmarkEnd w:id="1"/>
    </w:p>
    <w:p w14:paraId="58D8F73C">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56B8A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4C95EB9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7518260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4B5B2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CE18C0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67ACE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1EAB6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76CFC1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21361D0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bl>
    <w:p w14:paraId="36E58D0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2F82983B">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1A149F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28A01CB9">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FA1C9D8">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DE54179">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063AFB2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416D15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281D9022">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D973C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667104A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1C09D530">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4A0F421">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C9C8CCB">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强宇涛</w:t>
            </w:r>
          </w:p>
        </w:tc>
        <w:tc>
          <w:tcPr>
            <w:tcW w:w="1606" w:type="dxa"/>
          </w:tcPr>
          <w:p w14:paraId="7B8CD65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陈凯</w:t>
            </w:r>
          </w:p>
        </w:tc>
        <w:tc>
          <w:tcPr>
            <w:tcW w:w="915" w:type="dxa"/>
          </w:tcPr>
          <w:p w14:paraId="77522B9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025A0C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28CD7A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6046792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F4793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B961DE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909F93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E703E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E8A99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474BD55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4D7B28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4C26BCC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58595F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CD2C80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DCEB25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46CC02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13D131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FD74E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30FBEE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A6FA65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9C1081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3BD27D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007D18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565596A">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43CC103D">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_Toc14746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_Toc14746 \h </w:instrText>
          </w:r>
          <w:r>
            <w:fldChar w:fldCharType="separate"/>
          </w:r>
          <w:r>
            <w:t>1</w:t>
          </w:r>
          <w:r>
            <w:fldChar w:fldCharType="end"/>
          </w:r>
          <w:r>
            <w:rPr>
              <w:rFonts w:hint="eastAsia" w:ascii="宋体" w:hAnsi="宋体" w:eastAsia="宋体" w:cs="宋体"/>
              <w:szCs w:val="24"/>
            </w:rPr>
            <w:fldChar w:fldCharType="end"/>
          </w:r>
        </w:p>
        <w:p w14:paraId="2328C88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_Toc9604 </w:instrText>
          </w:r>
          <w:r>
            <w:rPr>
              <w:rFonts w:hint="eastAsia" w:ascii="宋体" w:hAnsi="宋体" w:eastAsia="宋体" w:cs="宋体"/>
              <w:szCs w:val="24"/>
            </w:rPr>
            <w:fldChar w:fldCharType="separate"/>
          </w:r>
          <w:r>
            <w:rPr>
              <w:rFonts w:hint="eastAsia"/>
              <w:lang w:val="en-US" w:eastAsia="zh-CN"/>
            </w:rPr>
            <w:t>公安视频监控项目运维项目 实施方案</w:t>
          </w:r>
          <w:r>
            <w:tab/>
          </w:r>
          <w:r>
            <w:fldChar w:fldCharType="begin"/>
          </w:r>
          <w:r>
            <w:instrText xml:space="preserve"> PAGEREF _Toc9604 \h </w:instrText>
          </w:r>
          <w:r>
            <w:fldChar w:fldCharType="separate"/>
          </w:r>
          <w:r>
            <w:t>1</w:t>
          </w:r>
          <w:r>
            <w:fldChar w:fldCharType="end"/>
          </w:r>
          <w:r>
            <w:rPr>
              <w:rFonts w:hint="eastAsia" w:ascii="宋体" w:hAnsi="宋体" w:eastAsia="宋体" w:cs="宋体"/>
              <w:szCs w:val="24"/>
            </w:rPr>
            <w:fldChar w:fldCharType="end"/>
          </w:r>
        </w:p>
        <w:p w14:paraId="3C2F16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_Toc15803 </w:instrText>
          </w:r>
          <w:r>
            <w:rPr>
              <w:rFonts w:hint="eastAsia" w:ascii="宋体" w:hAnsi="宋体" w:eastAsia="宋体" w:cs="宋体"/>
              <w:szCs w:val="24"/>
            </w:rPr>
            <w:fldChar w:fldCharType="separate"/>
          </w:r>
          <w:r>
            <w:rPr>
              <w:rFonts w:hint="default"/>
              <w:lang w:val="en-US" w:eastAsia="zh-CN"/>
            </w:rPr>
            <w:t>1. 项目概述</w:t>
          </w:r>
          <w:r>
            <w:tab/>
          </w:r>
          <w:r>
            <w:fldChar w:fldCharType="begin"/>
          </w:r>
          <w:r>
            <w:instrText xml:space="preserve"> PAGEREF _Toc15803 \h </w:instrText>
          </w:r>
          <w:r>
            <w:fldChar w:fldCharType="separate"/>
          </w:r>
          <w:r>
            <w:t>5</w:t>
          </w:r>
          <w:r>
            <w:fldChar w:fldCharType="end"/>
          </w:r>
          <w:r>
            <w:rPr>
              <w:rFonts w:hint="eastAsia" w:ascii="宋体" w:hAnsi="宋体" w:eastAsia="宋体" w:cs="宋体"/>
              <w:szCs w:val="24"/>
            </w:rPr>
            <w:fldChar w:fldCharType="end"/>
          </w:r>
        </w:p>
        <w:p w14:paraId="3C9709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_Toc29347 </w:instrText>
          </w:r>
          <w:r>
            <w:rPr>
              <w:rFonts w:hint="eastAsia" w:ascii="宋体" w:hAnsi="宋体" w:eastAsia="宋体" w:cs="宋体"/>
              <w:szCs w:val="24"/>
            </w:rPr>
            <w:fldChar w:fldCharType="separate"/>
          </w:r>
          <w:r>
            <w:rPr>
              <w:rFonts w:hint="default"/>
              <w:lang w:val="en-US" w:eastAsia="zh-CN"/>
            </w:rPr>
            <w:t>2. 运维对象与范围</w:t>
          </w:r>
          <w:r>
            <w:tab/>
          </w:r>
          <w:r>
            <w:fldChar w:fldCharType="begin"/>
          </w:r>
          <w:r>
            <w:instrText xml:space="preserve"> PAGEREF _Toc29347 \h </w:instrText>
          </w:r>
          <w:r>
            <w:fldChar w:fldCharType="separate"/>
          </w:r>
          <w:r>
            <w:t>5</w:t>
          </w:r>
          <w:r>
            <w:fldChar w:fldCharType="end"/>
          </w:r>
          <w:r>
            <w:rPr>
              <w:rFonts w:hint="eastAsia" w:ascii="宋体" w:hAnsi="宋体" w:eastAsia="宋体" w:cs="宋体"/>
              <w:szCs w:val="24"/>
            </w:rPr>
            <w:fldChar w:fldCharType="end"/>
          </w:r>
        </w:p>
        <w:p w14:paraId="61DFA91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_Toc26351 </w:instrText>
          </w:r>
          <w:r>
            <w:rPr>
              <w:rFonts w:hint="eastAsia" w:ascii="宋体" w:hAnsi="宋体" w:eastAsia="宋体" w:cs="宋体"/>
              <w:szCs w:val="24"/>
            </w:rPr>
            <w:fldChar w:fldCharType="separate"/>
          </w:r>
          <w:r>
            <w:rPr>
              <w:rFonts w:hint="default"/>
              <w:lang w:val="en-US" w:eastAsia="zh-CN"/>
            </w:rPr>
            <w:t>3. 服务团队组织架构</w:t>
          </w:r>
          <w:r>
            <w:tab/>
          </w:r>
          <w:r>
            <w:fldChar w:fldCharType="begin"/>
          </w:r>
          <w:r>
            <w:instrText xml:space="preserve"> PAGEREF _Toc26351 \h </w:instrText>
          </w:r>
          <w:r>
            <w:fldChar w:fldCharType="separate"/>
          </w:r>
          <w:r>
            <w:t>5</w:t>
          </w:r>
          <w:r>
            <w:fldChar w:fldCharType="end"/>
          </w:r>
          <w:r>
            <w:rPr>
              <w:rFonts w:hint="eastAsia" w:ascii="宋体" w:hAnsi="宋体" w:eastAsia="宋体" w:cs="宋体"/>
              <w:szCs w:val="24"/>
            </w:rPr>
            <w:fldChar w:fldCharType="end"/>
          </w:r>
        </w:p>
        <w:p w14:paraId="3F6CBAE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_Toc28148 </w:instrText>
          </w:r>
          <w:r>
            <w:rPr>
              <w:rFonts w:hint="eastAsia" w:ascii="宋体" w:hAnsi="宋体" w:eastAsia="宋体" w:cs="宋体"/>
              <w:szCs w:val="24"/>
            </w:rPr>
            <w:fldChar w:fldCharType="separate"/>
          </w:r>
          <w:r>
            <w:rPr>
              <w:rFonts w:hint="default"/>
              <w:lang w:val="en-US" w:eastAsia="zh-CN"/>
            </w:rPr>
            <w:t>3.1. 项目组织架构</w:t>
          </w:r>
          <w:r>
            <w:tab/>
          </w:r>
          <w:r>
            <w:fldChar w:fldCharType="begin"/>
          </w:r>
          <w:r>
            <w:instrText xml:space="preserve"> PAGEREF _Toc28148 \h </w:instrText>
          </w:r>
          <w:r>
            <w:fldChar w:fldCharType="separate"/>
          </w:r>
          <w:r>
            <w:t>5</w:t>
          </w:r>
          <w:r>
            <w:fldChar w:fldCharType="end"/>
          </w:r>
          <w:r>
            <w:rPr>
              <w:rFonts w:hint="eastAsia" w:ascii="宋体" w:hAnsi="宋体" w:eastAsia="宋体" w:cs="宋体"/>
              <w:szCs w:val="24"/>
            </w:rPr>
            <w:fldChar w:fldCharType="end"/>
          </w:r>
        </w:p>
        <w:p w14:paraId="44E85DA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_Toc5724 </w:instrText>
          </w:r>
          <w:r>
            <w:rPr>
              <w:rFonts w:hint="eastAsia" w:ascii="宋体" w:hAnsi="宋体" w:eastAsia="宋体" w:cs="宋体"/>
              <w:szCs w:val="24"/>
            </w:rPr>
            <w:fldChar w:fldCharType="separate"/>
          </w:r>
          <w:r>
            <w:rPr>
              <w:rFonts w:hint="default"/>
              <w:lang w:val="en-US" w:eastAsia="zh-CN"/>
            </w:rPr>
            <w:t>3.2. 应急响应联系人</w:t>
          </w:r>
          <w:r>
            <w:tab/>
          </w:r>
          <w:r>
            <w:fldChar w:fldCharType="begin"/>
          </w:r>
          <w:r>
            <w:instrText xml:space="preserve"> PAGEREF _Toc5724 \h </w:instrText>
          </w:r>
          <w:r>
            <w:fldChar w:fldCharType="separate"/>
          </w:r>
          <w:r>
            <w:t>5</w:t>
          </w:r>
          <w:r>
            <w:fldChar w:fldCharType="end"/>
          </w:r>
          <w:r>
            <w:rPr>
              <w:rFonts w:hint="eastAsia" w:ascii="宋体" w:hAnsi="宋体" w:eastAsia="宋体" w:cs="宋体"/>
              <w:szCs w:val="24"/>
            </w:rPr>
            <w:fldChar w:fldCharType="end"/>
          </w:r>
        </w:p>
        <w:p w14:paraId="086BCC7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_Toc26929 </w:instrText>
          </w:r>
          <w:r>
            <w:rPr>
              <w:rFonts w:hint="eastAsia" w:ascii="宋体" w:hAnsi="宋体" w:eastAsia="宋体" w:cs="宋体"/>
              <w:szCs w:val="24"/>
            </w:rPr>
            <w:fldChar w:fldCharType="separate"/>
          </w:r>
          <w:r>
            <w:rPr>
              <w:rFonts w:hint="default"/>
              <w:lang w:val="en-US" w:eastAsia="zh-CN"/>
            </w:rPr>
            <w:t>4. 核心服务内容与实施计划</w:t>
          </w:r>
          <w:r>
            <w:tab/>
          </w:r>
          <w:r>
            <w:fldChar w:fldCharType="begin"/>
          </w:r>
          <w:r>
            <w:instrText xml:space="preserve"> PAGEREF _Toc26929 \h </w:instrText>
          </w:r>
          <w:r>
            <w:fldChar w:fldCharType="separate"/>
          </w:r>
          <w:r>
            <w:t>6</w:t>
          </w:r>
          <w:r>
            <w:fldChar w:fldCharType="end"/>
          </w:r>
          <w:r>
            <w:rPr>
              <w:rFonts w:hint="eastAsia" w:ascii="宋体" w:hAnsi="宋体" w:eastAsia="宋体" w:cs="宋体"/>
              <w:szCs w:val="24"/>
            </w:rPr>
            <w:fldChar w:fldCharType="end"/>
          </w:r>
        </w:p>
        <w:p w14:paraId="41A556B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_Toc16186 </w:instrText>
          </w:r>
          <w:r>
            <w:rPr>
              <w:rFonts w:hint="eastAsia" w:ascii="宋体" w:hAnsi="宋体" w:eastAsia="宋体" w:cs="宋体"/>
              <w:szCs w:val="24"/>
            </w:rPr>
            <w:fldChar w:fldCharType="separate"/>
          </w:r>
          <w:r>
            <w:rPr>
              <w:rFonts w:hint="default"/>
              <w:lang w:val="en-US" w:eastAsia="zh-CN"/>
            </w:rPr>
            <w:t>4.1. 主动巡检与预防（常态防御）</w:t>
          </w:r>
          <w:r>
            <w:tab/>
          </w:r>
          <w:r>
            <w:fldChar w:fldCharType="begin"/>
          </w:r>
          <w:r>
            <w:instrText xml:space="preserve"> PAGEREF _Toc16186 \h </w:instrText>
          </w:r>
          <w:r>
            <w:fldChar w:fldCharType="separate"/>
          </w:r>
          <w:r>
            <w:t>6</w:t>
          </w:r>
          <w:r>
            <w:fldChar w:fldCharType="end"/>
          </w:r>
          <w:r>
            <w:rPr>
              <w:rFonts w:hint="eastAsia" w:ascii="宋体" w:hAnsi="宋体" w:eastAsia="宋体" w:cs="宋体"/>
              <w:szCs w:val="24"/>
            </w:rPr>
            <w:fldChar w:fldCharType="end"/>
          </w:r>
        </w:p>
        <w:p w14:paraId="5BA4F8C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_Toc31090 </w:instrText>
          </w:r>
          <w:r>
            <w:rPr>
              <w:rFonts w:hint="eastAsia" w:ascii="宋体" w:hAnsi="宋体" w:eastAsia="宋体" w:cs="宋体"/>
              <w:szCs w:val="24"/>
            </w:rPr>
            <w:fldChar w:fldCharType="separate"/>
          </w:r>
          <w:r>
            <w:rPr>
              <w:rFonts w:hint="default"/>
              <w:lang w:val="en-US" w:eastAsia="zh-CN"/>
            </w:rPr>
            <w:t>4.2. 应急抢修（时效红线）</w:t>
          </w:r>
          <w:r>
            <w:tab/>
          </w:r>
          <w:r>
            <w:fldChar w:fldCharType="begin"/>
          </w:r>
          <w:r>
            <w:instrText xml:space="preserve"> PAGEREF _Toc31090 \h </w:instrText>
          </w:r>
          <w:r>
            <w:fldChar w:fldCharType="separate"/>
          </w:r>
          <w:r>
            <w:t>6</w:t>
          </w:r>
          <w:r>
            <w:fldChar w:fldCharType="end"/>
          </w:r>
          <w:r>
            <w:rPr>
              <w:rFonts w:hint="eastAsia" w:ascii="宋体" w:hAnsi="宋体" w:eastAsia="宋体" w:cs="宋体"/>
              <w:szCs w:val="24"/>
            </w:rPr>
            <w:fldChar w:fldCharType="end"/>
          </w:r>
        </w:p>
        <w:p w14:paraId="1AEB39C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_Toc24062 </w:instrText>
          </w:r>
          <w:r>
            <w:rPr>
              <w:rFonts w:hint="eastAsia" w:ascii="宋体" w:hAnsi="宋体" w:eastAsia="宋体" w:cs="宋体"/>
              <w:szCs w:val="24"/>
            </w:rPr>
            <w:fldChar w:fldCharType="separate"/>
          </w:r>
          <w:r>
            <w:rPr>
              <w:rFonts w:hint="default"/>
              <w:lang w:val="en-US" w:eastAsia="zh-CN"/>
            </w:rPr>
            <w:t>4.3. 资产与档案管理</w:t>
          </w:r>
          <w:r>
            <w:tab/>
          </w:r>
          <w:r>
            <w:fldChar w:fldCharType="begin"/>
          </w:r>
          <w:r>
            <w:instrText xml:space="preserve"> PAGEREF _Toc24062 \h </w:instrText>
          </w:r>
          <w:r>
            <w:fldChar w:fldCharType="separate"/>
          </w:r>
          <w:r>
            <w:t>6</w:t>
          </w:r>
          <w:r>
            <w:fldChar w:fldCharType="end"/>
          </w:r>
          <w:r>
            <w:rPr>
              <w:rFonts w:hint="eastAsia" w:ascii="宋体" w:hAnsi="宋体" w:eastAsia="宋体" w:cs="宋体"/>
              <w:szCs w:val="24"/>
            </w:rPr>
            <w:fldChar w:fldCharType="end"/>
          </w:r>
        </w:p>
        <w:p w14:paraId="3B29D8B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_Toc24112 </w:instrText>
          </w:r>
          <w:r>
            <w:rPr>
              <w:rFonts w:hint="eastAsia" w:ascii="宋体" w:hAnsi="宋体" w:eastAsia="宋体" w:cs="宋体"/>
              <w:szCs w:val="24"/>
            </w:rPr>
            <w:fldChar w:fldCharType="separate"/>
          </w:r>
          <w:r>
            <w:rPr>
              <w:rFonts w:hint="default"/>
              <w:lang w:val="en-US" w:eastAsia="zh-CN"/>
            </w:rPr>
            <w:t>5. 服务等级协议（SLA）与考核</w:t>
          </w:r>
          <w:r>
            <w:tab/>
          </w:r>
          <w:r>
            <w:fldChar w:fldCharType="begin"/>
          </w:r>
          <w:r>
            <w:instrText xml:space="preserve"> PAGEREF _Toc24112 \h </w:instrText>
          </w:r>
          <w:r>
            <w:fldChar w:fldCharType="separate"/>
          </w:r>
          <w:r>
            <w:t>7</w:t>
          </w:r>
          <w:r>
            <w:fldChar w:fldCharType="end"/>
          </w:r>
          <w:r>
            <w:rPr>
              <w:rFonts w:hint="eastAsia" w:ascii="宋体" w:hAnsi="宋体" w:eastAsia="宋体" w:cs="宋体"/>
              <w:szCs w:val="24"/>
            </w:rPr>
            <w:fldChar w:fldCharType="end"/>
          </w:r>
        </w:p>
        <w:p w14:paraId="37B5213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_Toc24007 </w:instrText>
          </w:r>
          <w:r>
            <w:rPr>
              <w:rFonts w:hint="eastAsia" w:ascii="宋体" w:hAnsi="宋体" w:eastAsia="宋体" w:cs="宋体"/>
              <w:szCs w:val="24"/>
            </w:rPr>
            <w:fldChar w:fldCharType="separate"/>
          </w:r>
          <w:r>
            <w:rPr>
              <w:rFonts w:hint="default"/>
              <w:lang w:val="en-US" w:eastAsia="zh-CN"/>
            </w:rPr>
            <w:t>5.1. 在线率考核</w:t>
          </w:r>
          <w:r>
            <w:tab/>
          </w:r>
          <w:r>
            <w:fldChar w:fldCharType="begin"/>
          </w:r>
          <w:r>
            <w:instrText xml:space="preserve"> PAGEREF _Toc24007 \h </w:instrText>
          </w:r>
          <w:r>
            <w:fldChar w:fldCharType="separate"/>
          </w:r>
          <w:r>
            <w:t>7</w:t>
          </w:r>
          <w:r>
            <w:fldChar w:fldCharType="end"/>
          </w:r>
          <w:r>
            <w:rPr>
              <w:rFonts w:hint="eastAsia" w:ascii="宋体" w:hAnsi="宋体" w:eastAsia="宋体" w:cs="宋体"/>
              <w:szCs w:val="24"/>
            </w:rPr>
            <w:fldChar w:fldCharType="end"/>
          </w:r>
        </w:p>
        <w:p w14:paraId="3A9CA2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_Toc367 </w:instrText>
          </w:r>
          <w:r>
            <w:rPr>
              <w:rFonts w:hint="eastAsia" w:ascii="宋体" w:hAnsi="宋体" w:eastAsia="宋体" w:cs="宋体"/>
              <w:szCs w:val="24"/>
            </w:rPr>
            <w:fldChar w:fldCharType="separate"/>
          </w:r>
          <w:r>
            <w:rPr>
              <w:rFonts w:hint="default"/>
              <w:lang w:val="en-US" w:eastAsia="zh-CN"/>
            </w:rPr>
            <w:t>5.2. 响应及时性考核</w:t>
          </w:r>
          <w:r>
            <w:tab/>
          </w:r>
          <w:r>
            <w:fldChar w:fldCharType="begin"/>
          </w:r>
          <w:r>
            <w:instrText xml:space="preserve"> PAGEREF _Toc367 \h </w:instrText>
          </w:r>
          <w:r>
            <w:fldChar w:fldCharType="separate"/>
          </w:r>
          <w:r>
            <w:t>7</w:t>
          </w:r>
          <w:r>
            <w:fldChar w:fldCharType="end"/>
          </w:r>
          <w:r>
            <w:rPr>
              <w:rFonts w:hint="eastAsia" w:ascii="宋体" w:hAnsi="宋体" w:eastAsia="宋体" w:cs="宋体"/>
              <w:szCs w:val="24"/>
            </w:rPr>
            <w:fldChar w:fldCharType="end"/>
          </w:r>
        </w:p>
        <w:p w14:paraId="479B692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_Toc1635 </w:instrText>
          </w:r>
          <w:r>
            <w:rPr>
              <w:rFonts w:hint="eastAsia" w:ascii="宋体" w:hAnsi="宋体" w:eastAsia="宋体" w:cs="宋体"/>
              <w:szCs w:val="24"/>
            </w:rPr>
            <w:fldChar w:fldCharType="separate"/>
          </w:r>
          <w:r>
            <w:rPr>
              <w:rFonts w:hint="default"/>
              <w:lang w:val="en-US" w:eastAsia="zh-CN"/>
            </w:rPr>
            <w:t>5.3. 质量考核</w:t>
          </w:r>
          <w:r>
            <w:tab/>
          </w:r>
          <w:r>
            <w:fldChar w:fldCharType="begin"/>
          </w:r>
          <w:r>
            <w:instrText xml:space="preserve"> PAGEREF _Toc1635 \h </w:instrText>
          </w:r>
          <w:r>
            <w:fldChar w:fldCharType="separate"/>
          </w:r>
          <w:r>
            <w:t>7</w:t>
          </w:r>
          <w:r>
            <w:fldChar w:fldCharType="end"/>
          </w:r>
          <w:r>
            <w:rPr>
              <w:rFonts w:hint="eastAsia" w:ascii="宋体" w:hAnsi="宋体" w:eastAsia="宋体" w:cs="宋体"/>
              <w:szCs w:val="24"/>
            </w:rPr>
            <w:fldChar w:fldCharType="end"/>
          </w:r>
        </w:p>
        <w:p w14:paraId="4E61690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_Toc25139 </w:instrText>
          </w:r>
          <w:r>
            <w:rPr>
              <w:rFonts w:hint="eastAsia" w:ascii="宋体" w:hAnsi="宋体" w:eastAsia="宋体" w:cs="宋体"/>
              <w:szCs w:val="24"/>
            </w:rPr>
            <w:fldChar w:fldCharType="separate"/>
          </w:r>
          <w:r>
            <w:rPr>
              <w:rFonts w:hint="default"/>
              <w:lang w:val="en-US" w:eastAsia="zh-CN"/>
            </w:rPr>
            <w:t>6. 备品备件管理</w:t>
          </w:r>
          <w:r>
            <w:tab/>
          </w:r>
          <w:r>
            <w:fldChar w:fldCharType="begin"/>
          </w:r>
          <w:r>
            <w:instrText xml:space="preserve"> PAGEREF _Toc25139 \h </w:instrText>
          </w:r>
          <w:r>
            <w:fldChar w:fldCharType="separate"/>
          </w:r>
          <w:r>
            <w:t>7</w:t>
          </w:r>
          <w:r>
            <w:fldChar w:fldCharType="end"/>
          </w:r>
          <w:r>
            <w:rPr>
              <w:rFonts w:hint="eastAsia" w:ascii="宋体" w:hAnsi="宋体" w:eastAsia="宋体" w:cs="宋体"/>
              <w:szCs w:val="24"/>
            </w:rPr>
            <w:fldChar w:fldCharType="end"/>
          </w:r>
        </w:p>
        <w:p w14:paraId="1449FAE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_Toc8045 </w:instrText>
          </w:r>
          <w:r>
            <w:rPr>
              <w:rFonts w:hint="eastAsia" w:ascii="宋体" w:hAnsi="宋体" w:eastAsia="宋体" w:cs="宋体"/>
              <w:szCs w:val="24"/>
            </w:rPr>
            <w:fldChar w:fldCharType="separate"/>
          </w:r>
          <w:r>
            <w:rPr>
              <w:rFonts w:hint="default"/>
              <w:lang w:val="en-US" w:eastAsia="zh-CN"/>
            </w:rPr>
            <w:t>6.1. 备机机制</w:t>
          </w:r>
          <w:r>
            <w:tab/>
          </w:r>
          <w:r>
            <w:fldChar w:fldCharType="begin"/>
          </w:r>
          <w:r>
            <w:instrText xml:space="preserve"> PAGEREF _Toc8045 \h </w:instrText>
          </w:r>
          <w:r>
            <w:fldChar w:fldCharType="separate"/>
          </w:r>
          <w:r>
            <w:t>7</w:t>
          </w:r>
          <w:r>
            <w:fldChar w:fldCharType="end"/>
          </w:r>
          <w:r>
            <w:rPr>
              <w:rFonts w:hint="eastAsia" w:ascii="宋体" w:hAnsi="宋体" w:eastAsia="宋体" w:cs="宋体"/>
              <w:szCs w:val="24"/>
            </w:rPr>
            <w:fldChar w:fldCharType="end"/>
          </w:r>
        </w:p>
        <w:p w14:paraId="01B8178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_Toc943 </w:instrText>
          </w:r>
          <w:r>
            <w:rPr>
              <w:rFonts w:hint="eastAsia" w:ascii="宋体" w:hAnsi="宋体" w:eastAsia="宋体" w:cs="宋体"/>
              <w:szCs w:val="24"/>
            </w:rPr>
            <w:fldChar w:fldCharType="separate"/>
          </w:r>
          <w:r>
            <w:rPr>
              <w:rFonts w:hint="default"/>
              <w:lang w:val="en-US" w:eastAsia="zh-CN"/>
            </w:rPr>
            <w:t>6.2. 费用分担</w:t>
          </w:r>
          <w:r>
            <w:tab/>
          </w:r>
          <w:r>
            <w:fldChar w:fldCharType="begin"/>
          </w:r>
          <w:r>
            <w:instrText xml:space="preserve"> PAGEREF _Toc943 \h </w:instrText>
          </w:r>
          <w:r>
            <w:fldChar w:fldCharType="separate"/>
          </w:r>
          <w:r>
            <w:t>8</w:t>
          </w:r>
          <w:r>
            <w:fldChar w:fldCharType="end"/>
          </w:r>
          <w:r>
            <w:rPr>
              <w:rFonts w:hint="eastAsia" w:ascii="宋体" w:hAnsi="宋体" w:eastAsia="宋体" w:cs="宋体"/>
              <w:szCs w:val="24"/>
            </w:rPr>
            <w:fldChar w:fldCharType="end"/>
          </w:r>
        </w:p>
        <w:p w14:paraId="351B353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_Toc6472 </w:instrText>
          </w:r>
          <w:r>
            <w:rPr>
              <w:rFonts w:hint="eastAsia" w:ascii="宋体" w:hAnsi="宋体" w:eastAsia="宋体" w:cs="宋体"/>
              <w:szCs w:val="24"/>
            </w:rPr>
            <w:fldChar w:fldCharType="separate"/>
          </w:r>
          <w:r>
            <w:rPr>
              <w:rFonts w:hint="default"/>
              <w:lang w:val="en-US" w:eastAsia="zh-CN"/>
            </w:rPr>
            <w:t>7. 七、信息安全与保密管理</w:t>
          </w:r>
          <w:r>
            <w:tab/>
          </w:r>
          <w:r>
            <w:fldChar w:fldCharType="begin"/>
          </w:r>
          <w:r>
            <w:instrText xml:space="preserve"> PAGEREF _Toc6472 \h </w:instrText>
          </w:r>
          <w:r>
            <w:fldChar w:fldCharType="separate"/>
          </w:r>
          <w:r>
            <w:t>8</w:t>
          </w:r>
          <w:r>
            <w:fldChar w:fldCharType="end"/>
          </w:r>
          <w:r>
            <w:rPr>
              <w:rFonts w:hint="eastAsia" w:ascii="宋体" w:hAnsi="宋体" w:eastAsia="宋体" w:cs="宋体"/>
              <w:szCs w:val="24"/>
            </w:rPr>
            <w:fldChar w:fldCharType="end"/>
          </w:r>
        </w:p>
        <w:p w14:paraId="7A2A9C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_Toc3787 </w:instrText>
          </w:r>
          <w:r>
            <w:rPr>
              <w:rFonts w:hint="eastAsia" w:ascii="宋体" w:hAnsi="宋体" w:eastAsia="宋体" w:cs="宋体"/>
              <w:szCs w:val="24"/>
            </w:rPr>
            <w:fldChar w:fldCharType="separate"/>
          </w:r>
          <w:r>
            <w:rPr>
              <w:rFonts w:hint="default"/>
              <w:lang w:val="en-US" w:eastAsia="zh-CN"/>
            </w:rPr>
            <w:t>7.1. 保密要求</w:t>
          </w:r>
          <w:r>
            <w:tab/>
          </w:r>
          <w:r>
            <w:fldChar w:fldCharType="begin"/>
          </w:r>
          <w:r>
            <w:instrText xml:space="preserve"> PAGEREF _Toc3787 \h </w:instrText>
          </w:r>
          <w:r>
            <w:fldChar w:fldCharType="separate"/>
          </w:r>
          <w:r>
            <w:t>8</w:t>
          </w:r>
          <w:r>
            <w:fldChar w:fldCharType="end"/>
          </w:r>
          <w:r>
            <w:rPr>
              <w:rFonts w:hint="eastAsia" w:ascii="宋体" w:hAnsi="宋体" w:eastAsia="宋体" w:cs="宋体"/>
              <w:szCs w:val="24"/>
            </w:rPr>
            <w:fldChar w:fldCharType="end"/>
          </w:r>
        </w:p>
        <w:p w14:paraId="0300709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_Toc21256 </w:instrText>
          </w:r>
          <w:r>
            <w:rPr>
              <w:rFonts w:hint="eastAsia" w:ascii="宋体" w:hAnsi="宋体" w:eastAsia="宋体" w:cs="宋体"/>
              <w:szCs w:val="24"/>
            </w:rPr>
            <w:fldChar w:fldCharType="separate"/>
          </w:r>
          <w:r>
            <w:rPr>
              <w:rFonts w:hint="default"/>
              <w:lang w:val="en-US" w:eastAsia="zh-CN"/>
            </w:rPr>
            <w:t>7.2. 人员管理</w:t>
          </w:r>
          <w:r>
            <w:tab/>
          </w:r>
          <w:r>
            <w:fldChar w:fldCharType="begin"/>
          </w:r>
          <w:r>
            <w:instrText xml:space="preserve"> PAGEREF _Toc21256 \h </w:instrText>
          </w:r>
          <w:r>
            <w:fldChar w:fldCharType="separate"/>
          </w:r>
          <w:r>
            <w:t>8</w:t>
          </w:r>
          <w:r>
            <w:fldChar w:fldCharType="end"/>
          </w:r>
          <w:r>
            <w:rPr>
              <w:rFonts w:hint="eastAsia" w:ascii="宋体" w:hAnsi="宋体" w:eastAsia="宋体" w:cs="宋体"/>
              <w:szCs w:val="24"/>
            </w:rPr>
            <w:fldChar w:fldCharType="end"/>
          </w:r>
        </w:p>
        <w:p w14:paraId="6063FF8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_Toc243 </w:instrText>
          </w:r>
          <w:r>
            <w:rPr>
              <w:rFonts w:hint="eastAsia" w:ascii="宋体" w:hAnsi="宋体" w:eastAsia="宋体" w:cs="宋体"/>
              <w:szCs w:val="24"/>
            </w:rPr>
            <w:fldChar w:fldCharType="separate"/>
          </w:r>
          <w:r>
            <w:rPr>
              <w:rFonts w:hint="default"/>
              <w:lang w:val="en-US" w:eastAsia="zh-CN"/>
            </w:rPr>
            <w:t>8. 服务实施里程碑计划</w:t>
          </w:r>
          <w:r>
            <w:tab/>
          </w:r>
          <w:r>
            <w:fldChar w:fldCharType="begin"/>
          </w:r>
          <w:r>
            <w:instrText xml:space="preserve"> PAGEREF _Toc243 \h </w:instrText>
          </w:r>
          <w:r>
            <w:fldChar w:fldCharType="separate"/>
          </w:r>
          <w:r>
            <w:t>8</w:t>
          </w:r>
          <w:r>
            <w:fldChar w:fldCharType="end"/>
          </w:r>
          <w:r>
            <w:rPr>
              <w:rFonts w:hint="eastAsia" w:ascii="宋体" w:hAnsi="宋体" w:eastAsia="宋体" w:cs="宋体"/>
              <w:szCs w:val="24"/>
            </w:rPr>
            <w:fldChar w:fldCharType="end"/>
          </w:r>
        </w:p>
        <w:p w14:paraId="562BDE2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_Toc3203 </w:instrText>
          </w:r>
          <w:r>
            <w:rPr>
              <w:rFonts w:hint="eastAsia" w:ascii="宋体" w:hAnsi="宋体" w:eastAsia="宋体" w:cs="宋体"/>
              <w:szCs w:val="24"/>
            </w:rPr>
            <w:fldChar w:fldCharType="separate"/>
          </w:r>
          <w:r>
            <w:rPr>
              <w:rFonts w:hint="default"/>
              <w:lang w:val="en-US" w:eastAsia="zh-CN"/>
            </w:rPr>
            <w:t>9. 质量保障与风险控制</w:t>
          </w:r>
          <w:r>
            <w:tab/>
          </w:r>
          <w:r>
            <w:fldChar w:fldCharType="begin"/>
          </w:r>
          <w:r>
            <w:instrText xml:space="preserve"> PAGEREF _Toc3203 \h </w:instrText>
          </w:r>
          <w:r>
            <w:fldChar w:fldCharType="separate"/>
          </w:r>
          <w:r>
            <w:t>9</w:t>
          </w:r>
          <w:r>
            <w:fldChar w:fldCharType="end"/>
          </w:r>
          <w:r>
            <w:rPr>
              <w:rFonts w:hint="eastAsia" w:ascii="宋体" w:hAnsi="宋体" w:eastAsia="宋体" w:cs="宋体"/>
              <w:szCs w:val="24"/>
            </w:rPr>
            <w:fldChar w:fldCharType="end"/>
          </w:r>
        </w:p>
        <w:p w14:paraId="37E4A7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_Toc23118 </w:instrText>
          </w:r>
          <w:r>
            <w:rPr>
              <w:rFonts w:hint="eastAsia" w:ascii="宋体" w:hAnsi="宋体" w:eastAsia="宋体" w:cs="宋体"/>
              <w:szCs w:val="24"/>
            </w:rPr>
            <w:fldChar w:fldCharType="separate"/>
          </w:r>
          <w:r>
            <w:rPr>
              <w:rFonts w:hint="default"/>
              <w:lang w:val="en-US" w:eastAsia="zh-CN"/>
            </w:rPr>
            <w:t>9.1. 质量保障措施</w:t>
          </w:r>
          <w:r>
            <w:tab/>
          </w:r>
          <w:r>
            <w:fldChar w:fldCharType="begin"/>
          </w:r>
          <w:r>
            <w:instrText xml:space="preserve"> PAGEREF _Toc23118 \h </w:instrText>
          </w:r>
          <w:r>
            <w:fldChar w:fldCharType="separate"/>
          </w:r>
          <w:r>
            <w:t>9</w:t>
          </w:r>
          <w:r>
            <w:fldChar w:fldCharType="end"/>
          </w:r>
          <w:r>
            <w:rPr>
              <w:rFonts w:hint="eastAsia" w:ascii="宋体" w:hAnsi="宋体" w:eastAsia="宋体" w:cs="宋体"/>
              <w:szCs w:val="24"/>
            </w:rPr>
            <w:fldChar w:fldCharType="end"/>
          </w:r>
        </w:p>
        <w:p w14:paraId="6D7DBA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_Toc20009 </w:instrText>
          </w:r>
          <w:r>
            <w:rPr>
              <w:rFonts w:hint="eastAsia" w:ascii="宋体" w:hAnsi="宋体" w:eastAsia="宋体" w:cs="宋体"/>
              <w:szCs w:val="24"/>
            </w:rPr>
            <w:fldChar w:fldCharType="separate"/>
          </w:r>
          <w:r>
            <w:rPr>
              <w:rFonts w:hint="default"/>
              <w:lang w:val="en-US" w:eastAsia="zh-CN"/>
            </w:rPr>
            <w:t>9.2. 风险控制</w:t>
          </w:r>
          <w:r>
            <w:tab/>
          </w:r>
          <w:r>
            <w:fldChar w:fldCharType="begin"/>
          </w:r>
          <w:r>
            <w:instrText xml:space="preserve"> PAGEREF _Toc20009 \h </w:instrText>
          </w:r>
          <w:r>
            <w:fldChar w:fldCharType="separate"/>
          </w:r>
          <w:r>
            <w:t>9</w:t>
          </w:r>
          <w:r>
            <w:fldChar w:fldCharType="end"/>
          </w:r>
          <w:r>
            <w:rPr>
              <w:rFonts w:hint="eastAsia" w:ascii="宋体" w:hAnsi="宋体" w:eastAsia="宋体" w:cs="宋体"/>
              <w:szCs w:val="24"/>
            </w:rPr>
            <w:fldChar w:fldCharType="end"/>
          </w:r>
        </w:p>
        <w:p w14:paraId="1C98681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_Toc3797 </w:instrText>
          </w:r>
          <w:r>
            <w:rPr>
              <w:rFonts w:hint="eastAsia" w:ascii="宋体" w:hAnsi="宋体" w:eastAsia="宋体" w:cs="宋体"/>
              <w:szCs w:val="24"/>
            </w:rPr>
            <w:fldChar w:fldCharType="separate"/>
          </w:r>
          <w:r>
            <w:rPr>
              <w:rFonts w:hint="default"/>
              <w:lang w:val="en-US" w:eastAsia="zh-CN"/>
            </w:rPr>
            <w:t>10. 费用结算与支付</w:t>
          </w:r>
          <w:r>
            <w:tab/>
          </w:r>
          <w:r>
            <w:fldChar w:fldCharType="begin"/>
          </w:r>
          <w:r>
            <w:instrText xml:space="preserve"> PAGEREF _Toc3797 \h </w:instrText>
          </w:r>
          <w:r>
            <w:fldChar w:fldCharType="separate"/>
          </w:r>
          <w:r>
            <w:t>9</w:t>
          </w:r>
          <w:r>
            <w:fldChar w:fldCharType="end"/>
          </w:r>
          <w:r>
            <w:rPr>
              <w:rFonts w:hint="eastAsia" w:ascii="宋体" w:hAnsi="宋体" w:eastAsia="宋体" w:cs="宋体"/>
              <w:szCs w:val="24"/>
            </w:rPr>
            <w:fldChar w:fldCharType="end"/>
          </w:r>
        </w:p>
        <w:p w14:paraId="256216B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_Toc7246 </w:instrText>
          </w:r>
          <w:r>
            <w:rPr>
              <w:rFonts w:hint="eastAsia" w:ascii="宋体" w:hAnsi="宋体" w:eastAsia="宋体" w:cs="宋体"/>
              <w:szCs w:val="24"/>
            </w:rPr>
            <w:fldChar w:fldCharType="separate"/>
          </w:r>
          <w:r>
            <w:rPr>
              <w:rFonts w:hint="default"/>
              <w:lang w:val="en-US" w:eastAsia="zh-CN"/>
            </w:rPr>
            <w:t>10.1. 支付方式</w:t>
          </w:r>
          <w:r>
            <w:tab/>
          </w:r>
          <w:r>
            <w:fldChar w:fldCharType="begin"/>
          </w:r>
          <w:r>
            <w:instrText xml:space="preserve"> PAGEREF _Toc7246 \h </w:instrText>
          </w:r>
          <w:r>
            <w:fldChar w:fldCharType="separate"/>
          </w:r>
          <w:r>
            <w:t>9</w:t>
          </w:r>
          <w:r>
            <w:fldChar w:fldCharType="end"/>
          </w:r>
          <w:r>
            <w:rPr>
              <w:rFonts w:hint="eastAsia" w:ascii="宋体" w:hAnsi="宋体" w:eastAsia="宋体" w:cs="宋体"/>
              <w:szCs w:val="24"/>
            </w:rPr>
            <w:fldChar w:fldCharType="end"/>
          </w:r>
        </w:p>
        <w:p w14:paraId="01EBDBB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_Toc22743 </w:instrText>
          </w:r>
          <w:r>
            <w:rPr>
              <w:rFonts w:hint="eastAsia" w:ascii="宋体" w:hAnsi="宋体" w:eastAsia="宋体" w:cs="宋体"/>
              <w:szCs w:val="24"/>
            </w:rPr>
            <w:fldChar w:fldCharType="separate"/>
          </w:r>
          <w:r>
            <w:rPr>
              <w:rFonts w:hint="default"/>
              <w:lang w:val="en-US" w:eastAsia="zh-CN"/>
            </w:rPr>
            <w:t>10.2. 费用组成</w:t>
          </w:r>
          <w:r>
            <w:tab/>
          </w:r>
          <w:r>
            <w:fldChar w:fldCharType="begin"/>
          </w:r>
          <w:r>
            <w:instrText xml:space="preserve"> PAGEREF _Toc22743 \h </w:instrText>
          </w:r>
          <w:r>
            <w:fldChar w:fldCharType="separate"/>
          </w:r>
          <w:r>
            <w:t>9</w:t>
          </w:r>
          <w:r>
            <w:fldChar w:fldCharType="end"/>
          </w:r>
          <w:r>
            <w:rPr>
              <w:rFonts w:hint="eastAsia" w:ascii="宋体" w:hAnsi="宋体" w:eastAsia="宋体" w:cs="宋体"/>
              <w:szCs w:val="24"/>
            </w:rPr>
            <w:fldChar w:fldCharType="end"/>
          </w:r>
        </w:p>
        <w:p w14:paraId="3578391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_Toc14859 </w:instrText>
          </w:r>
          <w:r>
            <w:rPr>
              <w:rFonts w:hint="eastAsia" w:ascii="宋体" w:hAnsi="宋体" w:eastAsia="宋体" w:cs="宋体"/>
              <w:szCs w:val="24"/>
            </w:rPr>
            <w:fldChar w:fldCharType="separate"/>
          </w:r>
          <w:r>
            <w:rPr>
              <w:rFonts w:hint="default"/>
              <w:lang w:val="en-US" w:eastAsia="zh-CN"/>
            </w:rPr>
            <w:t>11. 本方案的管理</w:t>
          </w:r>
          <w:r>
            <w:tab/>
          </w:r>
          <w:r>
            <w:fldChar w:fldCharType="begin"/>
          </w:r>
          <w:r>
            <w:instrText xml:space="preserve"> PAGEREF _Toc14859 \h </w:instrText>
          </w:r>
          <w:r>
            <w:fldChar w:fldCharType="separate"/>
          </w:r>
          <w:r>
            <w:t>10</w:t>
          </w:r>
          <w:r>
            <w:fldChar w:fldCharType="end"/>
          </w:r>
          <w:r>
            <w:rPr>
              <w:rFonts w:hint="eastAsia" w:ascii="宋体" w:hAnsi="宋体" w:eastAsia="宋体" w:cs="宋体"/>
              <w:szCs w:val="24"/>
            </w:rPr>
            <w:fldChar w:fldCharType="end"/>
          </w:r>
        </w:p>
        <w:p w14:paraId="312865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2A7399B2">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0CF827F">
      <w:pPr>
        <w:pStyle w:val="28"/>
        <w:bidi w:val="0"/>
        <w:rPr>
          <w:rFonts w:hint="default"/>
          <w:lang w:val="en-US" w:eastAsia="zh-CN"/>
        </w:rPr>
      </w:pPr>
      <w:bookmarkStart w:id="2" w:name="_Toc15803"/>
      <w:r>
        <w:rPr>
          <w:rFonts w:hint="default"/>
          <w:lang w:val="en-US" w:eastAsia="zh-CN"/>
        </w:rPr>
        <w:t>项目概述</w:t>
      </w:r>
      <w:bookmarkEnd w:id="2"/>
    </w:p>
    <w:p w14:paraId="67F41A72">
      <w:pPr>
        <w:pStyle w:val="29"/>
        <w:bidi w:val="0"/>
        <w:rPr>
          <w:rFonts w:hint="default"/>
          <w:lang w:val="en-US" w:eastAsia="zh-CN"/>
        </w:rPr>
      </w:pPr>
      <w:r>
        <w:rPr>
          <w:rFonts w:hint="default"/>
          <w:lang w:val="en-US" w:eastAsia="zh-CN"/>
        </w:rPr>
        <w:t>为确保公安视频监控系统（含前端摄像机、网络传输、后端存储及平台软件）长期稳定运行，保障社会治安防控体系正常运作，依据《公安视频监控项目专业运维服务合同》约定，特制定本实施方案。</w:t>
      </w:r>
    </w:p>
    <w:p w14:paraId="6B11AF27">
      <w:pPr>
        <w:pStyle w:val="29"/>
        <w:bidi w:val="0"/>
        <w:rPr>
          <w:rFonts w:hint="default"/>
          <w:lang w:val="en-US" w:eastAsia="zh-CN"/>
        </w:rPr>
      </w:pPr>
      <w:r>
        <w:rPr>
          <w:rFonts w:hint="default"/>
          <w:lang w:val="en-US" w:eastAsia="zh-CN"/>
        </w:rPr>
        <w:t>本项目服务周期为一年（2025年6月至2026年5月），</w:t>
      </w:r>
      <w:r>
        <w:rPr>
          <w:rFonts w:hint="eastAsia"/>
          <w:lang w:val="en-US" w:eastAsia="zh-CN"/>
        </w:rPr>
        <w:t>我司</w:t>
      </w:r>
      <w:r>
        <w:rPr>
          <w:rFonts w:hint="default"/>
          <w:lang w:val="en-US" w:eastAsia="zh-CN"/>
        </w:rPr>
        <w:t>将按照合同约定的SLA标准，提供7×24小时主动巡检、应急抢修、资产管理等专业化运维服务。</w:t>
      </w:r>
    </w:p>
    <w:p w14:paraId="10AEB74E">
      <w:pPr>
        <w:pStyle w:val="28"/>
        <w:bidi w:val="0"/>
        <w:rPr>
          <w:rFonts w:hint="default"/>
          <w:lang w:val="en-US" w:eastAsia="zh-CN"/>
        </w:rPr>
      </w:pPr>
      <w:bookmarkStart w:id="3" w:name="_Toc29347"/>
      <w:r>
        <w:rPr>
          <w:rFonts w:hint="default"/>
          <w:lang w:val="en-US" w:eastAsia="zh-CN"/>
        </w:rPr>
        <w:t>运维对象与范围</w:t>
      </w:r>
      <w:bookmarkEnd w:id="3"/>
    </w:p>
    <w:p w14:paraId="69E0FA1F">
      <w:pPr>
        <w:pStyle w:val="29"/>
        <w:bidi w:val="0"/>
        <w:rPr>
          <w:rFonts w:hint="default"/>
          <w:lang w:val="en-US" w:eastAsia="zh-CN"/>
        </w:rPr>
      </w:pPr>
      <w:r>
        <w:rPr>
          <w:rFonts w:hint="default"/>
          <w:lang w:val="en-US" w:eastAsia="zh-CN"/>
        </w:rPr>
        <w:t>运维范围涵盖桐乡市主城区内所有由乙方维护的公安视频监控相关设备，具体包括：</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22"/>
        <w:gridCol w:w="6973"/>
      </w:tblGrid>
      <w:tr w14:paraId="08509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8E5FAC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类别</w:t>
            </w:r>
          </w:p>
        </w:tc>
        <w:tc>
          <w:tcPr>
            <w:tcW w:w="697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8C89A0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设备明细</w:t>
            </w:r>
          </w:p>
        </w:tc>
      </w:tr>
      <w:tr w14:paraId="37CA9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FDB02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前端采集系统</w:t>
            </w:r>
          </w:p>
        </w:tc>
        <w:tc>
          <w:tcPr>
            <w:tcW w:w="697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3737E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高清球机/枪机、人脸/车牌识别摄像机、补光灯、防雷器、设备挂箱、立杆及基础</w:t>
            </w:r>
          </w:p>
        </w:tc>
      </w:tr>
      <w:tr w14:paraId="435E39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8E360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网络传输系统</w:t>
            </w:r>
          </w:p>
        </w:tc>
        <w:tc>
          <w:tcPr>
            <w:tcW w:w="697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7B4C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光纤收发器、ONU/交换机、通信线缆（光缆/网线）、电源线</w:t>
            </w:r>
          </w:p>
        </w:tc>
      </w:tr>
      <w:tr w14:paraId="14EC5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2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2C2853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后端存储与控制</w:t>
            </w:r>
          </w:p>
        </w:tc>
        <w:tc>
          <w:tcPr>
            <w:tcW w:w="697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F2ED8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NVR/CVR存储设备、视频综合平台、解码器、视频矩阵、核心/接入交换机</w:t>
            </w:r>
          </w:p>
        </w:tc>
      </w:tr>
    </w:tbl>
    <w:p w14:paraId="23461F85">
      <w:pPr>
        <w:pStyle w:val="28"/>
        <w:bidi w:val="0"/>
        <w:rPr>
          <w:rFonts w:hint="default"/>
          <w:lang w:val="en-US" w:eastAsia="zh-CN"/>
        </w:rPr>
      </w:pPr>
      <w:bookmarkStart w:id="4" w:name="_Toc26351"/>
      <w:r>
        <w:rPr>
          <w:rFonts w:hint="default"/>
          <w:lang w:val="en-US" w:eastAsia="zh-CN"/>
        </w:rPr>
        <w:t>服务团队组织架构</w:t>
      </w:r>
      <w:bookmarkEnd w:id="4"/>
    </w:p>
    <w:p w14:paraId="752CB5D1">
      <w:pPr>
        <w:pStyle w:val="30"/>
        <w:bidi w:val="0"/>
        <w:rPr>
          <w:rFonts w:hint="default"/>
          <w:lang w:val="en-US" w:eastAsia="zh-CN"/>
        </w:rPr>
      </w:pPr>
      <w:bookmarkStart w:id="5" w:name="_Toc28148"/>
      <w:r>
        <w:rPr>
          <w:rFonts w:hint="default"/>
          <w:lang w:val="en-US" w:eastAsia="zh-CN"/>
        </w:rPr>
        <w:t>项目组织架构</w:t>
      </w:r>
      <w:bookmarkEnd w:id="5"/>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87"/>
        <w:gridCol w:w="1767"/>
        <w:gridCol w:w="4641"/>
      </w:tblGrid>
      <w:tr w14:paraId="04738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5C128E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角色</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B0CAE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人员</w:t>
            </w:r>
          </w:p>
        </w:tc>
        <w:tc>
          <w:tcPr>
            <w:tcW w:w="464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2C8BEC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职责</w:t>
            </w:r>
          </w:p>
        </w:tc>
      </w:tr>
      <w:tr w14:paraId="5A3D0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F8C4D5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项目负责人</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48F4B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46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A16F6B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项目整体协调、资源调配、质量监督、客户沟通</w:t>
            </w:r>
          </w:p>
        </w:tc>
      </w:tr>
      <w:tr w14:paraId="2A4735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F045C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运维工程师（现场）</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DD706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2名</w:t>
            </w:r>
          </w:p>
        </w:tc>
        <w:tc>
          <w:tcPr>
            <w:tcW w:w="46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944327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现场巡检、故障排查、设备更换、维修作业</w:t>
            </w:r>
          </w:p>
        </w:tc>
      </w:tr>
      <w:tr w14:paraId="0324C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5B90A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服务台专员</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13569D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1名</w:t>
            </w:r>
          </w:p>
        </w:tc>
        <w:tc>
          <w:tcPr>
            <w:tcW w:w="464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E513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7×24小时故障受理、工单派发、进度跟踪、回访</w:t>
            </w:r>
          </w:p>
        </w:tc>
      </w:tr>
      <w:tr w14:paraId="68E4F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8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D4ADD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技术支撑团队</w:t>
            </w:r>
          </w:p>
        </w:tc>
        <w:tc>
          <w:tcPr>
            <w:tcW w:w="176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7F97C6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二线/三线人员</w:t>
            </w:r>
          </w:p>
        </w:tc>
        <w:tc>
          <w:tcPr>
            <w:tcW w:w="464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B6FE6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疑难故障技术支持、系统平台维护</w:t>
            </w:r>
          </w:p>
        </w:tc>
      </w:tr>
    </w:tbl>
    <w:p w14:paraId="2154FB96">
      <w:pPr>
        <w:pStyle w:val="30"/>
        <w:bidi w:val="0"/>
        <w:rPr>
          <w:rFonts w:hint="default"/>
          <w:lang w:val="en-US" w:eastAsia="zh-CN"/>
        </w:rPr>
      </w:pPr>
      <w:bookmarkStart w:id="6" w:name="_Toc5724"/>
      <w:r>
        <w:rPr>
          <w:rFonts w:hint="default"/>
          <w:lang w:val="en-US" w:eastAsia="zh-CN"/>
        </w:rPr>
        <w:t>应急响应联系人</w:t>
      </w:r>
      <w:bookmarkEnd w:id="6"/>
    </w:p>
    <w:p w14:paraId="3E4F4C6C">
      <w:pPr>
        <w:pStyle w:val="29"/>
        <w:bidi w:val="0"/>
        <w:rPr>
          <w:rFonts w:hint="default"/>
          <w:lang w:val="en-US" w:eastAsia="zh-CN"/>
        </w:rPr>
      </w:pPr>
      <w:r>
        <w:rPr>
          <w:rFonts w:hint="default"/>
          <w:lang w:val="en-US" w:eastAsia="zh-CN"/>
        </w:rPr>
        <w:t>按照合同附件二要求，建立《7×24小时应急响应联系人与梯队名单》，明确一级、二级、三级故障对应的联系人及备选人员，并报甲方备案。</w:t>
      </w:r>
    </w:p>
    <w:p w14:paraId="7C6BDF5A">
      <w:pPr>
        <w:pStyle w:val="28"/>
        <w:bidi w:val="0"/>
        <w:rPr>
          <w:rFonts w:hint="default"/>
          <w:lang w:val="en-US" w:eastAsia="zh-CN"/>
        </w:rPr>
      </w:pPr>
      <w:bookmarkStart w:id="7" w:name="_Toc26929"/>
      <w:r>
        <w:rPr>
          <w:rFonts w:hint="default"/>
          <w:lang w:val="en-US" w:eastAsia="zh-CN"/>
        </w:rPr>
        <w:t>核心服务内容与实施计划</w:t>
      </w:r>
      <w:bookmarkEnd w:id="7"/>
    </w:p>
    <w:p w14:paraId="038E7C31">
      <w:pPr>
        <w:pStyle w:val="30"/>
        <w:bidi w:val="0"/>
        <w:rPr>
          <w:rFonts w:hint="default"/>
          <w:lang w:val="en-US" w:eastAsia="zh-CN"/>
        </w:rPr>
      </w:pPr>
      <w:bookmarkStart w:id="8" w:name="_Toc16186"/>
      <w:r>
        <w:rPr>
          <w:rFonts w:hint="default"/>
          <w:lang w:val="en-US" w:eastAsia="zh-CN"/>
        </w:rPr>
        <w:t>主动巡检与预防（常态防御）</w:t>
      </w:r>
      <w:bookmarkEnd w:id="8"/>
    </w:p>
    <w:p w14:paraId="0BD2B85B">
      <w:pPr>
        <w:pStyle w:val="29"/>
        <w:numPr>
          <w:ilvl w:val="0"/>
          <w:numId w:val="2"/>
        </w:numPr>
        <w:bidi w:val="0"/>
        <w:ind w:left="425" w:leftChars="0" w:hanging="425" w:firstLineChars="0"/>
        <w:rPr>
          <w:rFonts w:hint="default"/>
          <w:lang w:val="en-US" w:eastAsia="zh-CN"/>
        </w:rPr>
      </w:pPr>
      <w:r>
        <w:rPr>
          <w:rFonts w:hint="default"/>
          <w:lang w:val="en-US" w:eastAsia="zh-CN"/>
        </w:rPr>
        <w:t>月度全覆盖巡检</w:t>
      </w:r>
    </w:p>
    <w:p w14:paraId="0177109A">
      <w:pPr>
        <w:pStyle w:val="29"/>
        <w:bidi w:val="0"/>
        <w:rPr>
          <w:rFonts w:hint="default"/>
          <w:lang w:val="en-US" w:eastAsia="zh-CN"/>
        </w:rPr>
      </w:pPr>
      <w:r>
        <w:rPr>
          <w:rFonts w:hint="default"/>
          <w:lang w:val="en-US" w:eastAsia="zh-CN"/>
        </w:rPr>
        <w:t>巡检频次：每月对不少于</w:t>
      </w:r>
      <w:r>
        <w:rPr>
          <w:rFonts w:hint="eastAsia"/>
          <w:lang w:val="en-US" w:eastAsia="zh-CN"/>
        </w:rPr>
        <w:t>2</w:t>
      </w:r>
      <w:r>
        <w:rPr>
          <w:rFonts w:hint="default"/>
          <w:lang w:val="en-US" w:eastAsia="zh-CN"/>
        </w:rPr>
        <w:t>5%的点位进行现场巡检，每季度完成一轮全覆盖</w:t>
      </w:r>
    </w:p>
    <w:p w14:paraId="4154E7E6">
      <w:pPr>
        <w:pStyle w:val="29"/>
        <w:bidi w:val="0"/>
        <w:rPr>
          <w:rFonts w:hint="default"/>
          <w:lang w:val="en-US" w:eastAsia="zh-CN"/>
        </w:rPr>
      </w:pPr>
      <w:r>
        <w:rPr>
          <w:rFonts w:hint="default"/>
          <w:lang w:val="en-US" w:eastAsia="zh-CN"/>
        </w:rPr>
        <w:t>巡检内容：摄像机角度、镜头清晰度、立杆锈蚀、挂箱密封性、接地电阻等</w:t>
      </w:r>
    </w:p>
    <w:p w14:paraId="5FC3BED9">
      <w:pPr>
        <w:pStyle w:val="29"/>
        <w:bidi w:val="0"/>
        <w:rPr>
          <w:rFonts w:hint="default"/>
          <w:lang w:val="en-US" w:eastAsia="zh-CN"/>
        </w:rPr>
      </w:pPr>
      <w:r>
        <w:rPr>
          <w:rFonts w:hint="default"/>
          <w:lang w:val="en-US" w:eastAsia="zh-CN"/>
        </w:rPr>
        <w:t>输出成果：每月提交《月度在线率及健康度报告》</w:t>
      </w:r>
    </w:p>
    <w:p w14:paraId="5E9271D2">
      <w:pPr>
        <w:pStyle w:val="29"/>
        <w:numPr>
          <w:ilvl w:val="0"/>
          <w:numId w:val="2"/>
        </w:numPr>
        <w:bidi w:val="0"/>
        <w:ind w:left="425" w:leftChars="0" w:hanging="425" w:firstLineChars="0"/>
        <w:rPr>
          <w:rFonts w:hint="default"/>
          <w:lang w:val="en-US" w:eastAsia="zh-CN"/>
        </w:rPr>
      </w:pPr>
      <w:r>
        <w:rPr>
          <w:rFonts w:hint="default"/>
          <w:lang w:val="en-US" w:eastAsia="zh-CN"/>
        </w:rPr>
        <w:t>季度深度保养</w:t>
      </w:r>
    </w:p>
    <w:p w14:paraId="627B6F9B">
      <w:pPr>
        <w:pStyle w:val="29"/>
        <w:bidi w:val="0"/>
        <w:rPr>
          <w:rFonts w:hint="default"/>
          <w:lang w:val="en-US" w:eastAsia="zh-CN"/>
        </w:rPr>
      </w:pPr>
      <w:r>
        <w:rPr>
          <w:rFonts w:hint="default"/>
          <w:lang w:val="en-US" w:eastAsia="zh-CN"/>
        </w:rPr>
        <w:t>保养频次：每季度一次</w:t>
      </w:r>
    </w:p>
    <w:p w14:paraId="75F37062">
      <w:pPr>
        <w:pStyle w:val="29"/>
        <w:bidi w:val="0"/>
        <w:rPr>
          <w:rFonts w:hint="default"/>
          <w:lang w:val="en-US" w:eastAsia="zh-CN"/>
        </w:rPr>
      </w:pPr>
      <w:r>
        <w:rPr>
          <w:rFonts w:hint="default"/>
          <w:lang w:val="en-US" w:eastAsia="zh-CN"/>
        </w:rPr>
        <w:t>保养范围：重点区域（党政机关、学校、交通枢纽）摄像机</w:t>
      </w:r>
    </w:p>
    <w:p w14:paraId="61169FFE">
      <w:pPr>
        <w:pStyle w:val="29"/>
        <w:bidi w:val="0"/>
        <w:rPr>
          <w:rFonts w:hint="default"/>
          <w:lang w:val="en-US" w:eastAsia="zh-CN"/>
        </w:rPr>
      </w:pPr>
      <w:r>
        <w:rPr>
          <w:rFonts w:hint="default"/>
          <w:lang w:val="en-US" w:eastAsia="zh-CN"/>
        </w:rPr>
        <w:t>保养内容：镜片清洁、设备除尘、紧固螺丝、防水胶带重缠</w:t>
      </w:r>
    </w:p>
    <w:p w14:paraId="17CBACBF">
      <w:pPr>
        <w:pStyle w:val="30"/>
        <w:bidi w:val="0"/>
        <w:rPr>
          <w:rFonts w:hint="default"/>
          <w:lang w:val="en-US" w:eastAsia="zh-CN"/>
        </w:rPr>
      </w:pPr>
      <w:bookmarkStart w:id="9" w:name="_Toc31090"/>
      <w:r>
        <w:rPr>
          <w:rFonts w:hint="default"/>
          <w:lang w:val="en-US" w:eastAsia="zh-CN"/>
        </w:rPr>
        <w:t>应急抢修（时效红线）</w:t>
      </w:r>
      <w:bookmarkEnd w:id="9"/>
    </w:p>
    <w:p w14:paraId="6F09A80B">
      <w:pPr>
        <w:pStyle w:val="29"/>
        <w:numPr>
          <w:ilvl w:val="0"/>
          <w:numId w:val="3"/>
        </w:numPr>
        <w:bidi w:val="0"/>
        <w:ind w:left="425" w:leftChars="0" w:hanging="425" w:firstLineChars="0"/>
        <w:rPr>
          <w:rFonts w:hint="default"/>
          <w:lang w:val="en-US" w:eastAsia="zh-CN"/>
        </w:rPr>
      </w:pPr>
      <w:r>
        <w:rPr>
          <w:rFonts w:hint="default"/>
          <w:lang w:val="en-US" w:eastAsia="zh-CN"/>
        </w:rPr>
        <w:t>服务时间</w:t>
      </w:r>
    </w:p>
    <w:p w14:paraId="1482BC53">
      <w:pPr>
        <w:pStyle w:val="29"/>
        <w:bidi w:val="0"/>
        <w:rPr>
          <w:rFonts w:hint="default"/>
          <w:lang w:val="en-US" w:eastAsia="zh-CN"/>
        </w:rPr>
      </w:pPr>
      <w:r>
        <w:rPr>
          <w:rFonts w:hint="default"/>
          <w:lang w:val="en-US" w:eastAsia="zh-CN"/>
        </w:rPr>
        <w:t>提供7×24小时故障响应服务，全年无休。</w:t>
      </w:r>
    </w:p>
    <w:p w14:paraId="585F88B5">
      <w:pPr>
        <w:pStyle w:val="29"/>
        <w:numPr>
          <w:ilvl w:val="0"/>
          <w:numId w:val="3"/>
        </w:numPr>
        <w:bidi w:val="0"/>
        <w:ind w:left="425" w:leftChars="0" w:hanging="425" w:firstLineChars="0"/>
        <w:rPr>
          <w:rFonts w:hint="default"/>
          <w:lang w:val="en-US" w:eastAsia="zh-CN"/>
        </w:rPr>
      </w:pPr>
      <w:r>
        <w:rPr>
          <w:rFonts w:hint="default"/>
          <w:lang w:val="en-US" w:eastAsia="zh-CN"/>
        </w:rPr>
        <w:t>故障分级与响应标准</w:t>
      </w:r>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06"/>
        <w:gridCol w:w="3811"/>
        <w:gridCol w:w="1221"/>
        <w:gridCol w:w="1236"/>
        <w:gridCol w:w="1221"/>
      </w:tblGrid>
      <w:tr w14:paraId="59EF1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3C8AA9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故障等级</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99FB65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定义</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5A4057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响应时间</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95DD25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到场时间</w:t>
            </w:r>
          </w:p>
        </w:tc>
        <w:tc>
          <w:tcPr>
            <w:tcW w:w="1221"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2932BE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解决时限</w:t>
            </w:r>
          </w:p>
        </w:tc>
      </w:tr>
      <w:tr w14:paraId="756512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2E803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一级故障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A337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核心区域监控离线或存储丢失</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9B7D3C">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10分钟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C5E2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30分钟内</w:t>
            </w:r>
          </w:p>
        </w:tc>
        <w:tc>
          <w:tcPr>
            <w:tcW w:w="12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EE5F1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2小时内</w:t>
            </w:r>
          </w:p>
        </w:tc>
      </w:tr>
      <w:tr w14:paraId="28FF1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20E2A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二级故障</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07E1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非核心区域单点摄像机离线或图像卡顿</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7A77BE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20分钟</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F8AD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1小时内</w:t>
            </w:r>
          </w:p>
        </w:tc>
        <w:tc>
          <w:tcPr>
            <w:tcW w:w="1221"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994F41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8小时内</w:t>
            </w:r>
          </w:p>
        </w:tc>
      </w:tr>
      <w:tr w14:paraId="4D5DA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0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4E1E93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三级故障</w:t>
            </w:r>
          </w:p>
        </w:tc>
        <w:tc>
          <w:tcPr>
            <w:tcW w:w="381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D260C1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辅助设备故障（补光灯、防雷器等）</w:t>
            </w:r>
          </w:p>
        </w:tc>
        <w:tc>
          <w:tcPr>
            <w:tcW w:w="122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17B91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1小时</w:t>
            </w:r>
          </w:p>
        </w:tc>
        <w:tc>
          <w:tcPr>
            <w:tcW w:w="123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CD645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4小时内</w:t>
            </w:r>
          </w:p>
        </w:tc>
        <w:tc>
          <w:tcPr>
            <w:tcW w:w="1221"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16C4F2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24小时内</w:t>
            </w:r>
          </w:p>
        </w:tc>
      </w:tr>
    </w:tbl>
    <w:p w14:paraId="62770CD0">
      <w:pPr>
        <w:pStyle w:val="29"/>
        <w:numPr>
          <w:ilvl w:val="0"/>
          <w:numId w:val="3"/>
        </w:numPr>
        <w:bidi w:val="0"/>
        <w:ind w:left="425" w:leftChars="0" w:hanging="425" w:firstLineChars="0"/>
        <w:rPr>
          <w:rFonts w:hint="default"/>
          <w:lang w:val="en-US" w:eastAsia="zh-CN"/>
        </w:rPr>
      </w:pPr>
      <w:r>
        <w:rPr>
          <w:rFonts w:hint="default"/>
          <w:lang w:val="en-US" w:eastAsia="zh-CN"/>
        </w:rPr>
        <w:t>故障处理流程</w:t>
      </w:r>
    </w:p>
    <w:p w14:paraId="2A93FC0B">
      <w:pPr>
        <w:pStyle w:val="29"/>
        <w:bidi w:val="0"/>
        <w:rPr>
          <w:rFonts w:hint="default"/>
          <w:lang w:val="en-US" w:eastAsia="zh-CN"/>
        </w:rPr>
      </w:pPr>
      <w:r>
        <w:rPr>
          <w:rFonts w:hint="default"/>
          <w:lang w:val="en-US" w:eastAsia="zh-CN"/>
        </w:rPr>
        <w:t>用户报修 → 服务台受理并分级 → 派发运维工程师 → 现场处理 → 恢复确认 → 回访关闭</w:t>
      </w:r>
    </w:p>
    <w:p w14:paraId="236B26C9">
      <w:pPr>
        <w:pStyle w:val="30"/>
        <w:bidi w:val="0"/>
        <w:rPr>
          <w:rFonts w:hint="default"/>
          <w:lang w:val="en-US" w:eastAsia="zh-CN"/>
        </w:rPr>
      </w:pPr>
      <w:bookmarkStart w:id="10" w:name="_Toc24062"/>
      <w:r>
        <w:rPr>
          <w:rFonts w:hint="default"/>
          <w:lang w:val="en-US" w:eastAsia="zh-CN"/>
        </w:rPr>
        <w:t>资产与档案管理</w:t>
      </w:r>
      <w:bookmarkEnd w:id="10"/>
    </w:p>
    <w:p w14:paraId="6813077E">
      <w:pPr>
        <w:pStyle w:val="29"/>
        <w:numPr>
          <w:ilvl w:val="0"/>
          <w:numId w:val="4"/>
        </w:numPr>
        <w:bidi w:val="0"/>
        <w:ind w:left="425" w:leftChars="0" w:hanging="425" w:firstLineChars="0"/>
        <w:rPr>
          <w:rFonts w:hint="default"/>
          <w:lang w:val="en-US" w:eastAsia="zh-CN"/>
        </w:rPr>
      </w:pPr>
      <w:r>
        <w:rPr>
          <w:rFonts w:hint="default"/>
          <w:lang w:val="en-US" w:eastAsia="zh-CN"/>
        </w:rPr>
        <w:t>资产台账建立</w:t>
      </w:r>
    </w:p>
    <w:p w14:paraId="15859891">
      <w:pPr>
        <w:pStyle w:val="29"/>
        <w:bidi w:val="0"/>
        <w:rPr>
          <w:rFonts w:hint="default"/>
          <w:lang w:val="en-US" w:eastAsia="zh-CN"/>
        </w:rPr>
      </w:pPr>
      <w:r>
        <w:rPr>
          <w:rFonts w:hint="default"/>
          <w:lang w:val="en-US" w:eastAsia="zh-CN"/>
        </w:rPr>
        <w:t>建立《公安视频监控资产台账》，记录每个点位的：</w:t>
      </w:r>
    </w:p>
    <w:p w14:paraId="4299E79B">
      <w:pPr>
        <w:pStyle w:val="29"/>
        <w:bidi w:val="0"/>
        <w:rPr>
          <w:rFonts w:hint="default"/>
          <w:lang w:val="en-US" w:eastAsia="zh-CN"/>
        </w:rPr>
      </w:pPr>
      <w:r>
        <w:rPr>
          <w:rFonts w:hint="default"/>
          <w:lang w:val="en-US" w:eastAsia="zh-CN"/>
        </w:rPr>
        <w:t>安装日期</w:t>
      </w:r>
    </w:p>
    <w:p w14:paraId="2721D5E9">
      <w:pPr>
        <w:pStyle w:val="29"/>
        <w:bidi w:val="0"/>
        <w:rPr>
          <w:rFonts w:hint="default"/>
          <w:lang w:val="en-US" w:eastAsia="zh-CN"/>
        </w:rPr>
      </w:pPr>
      <w:r>
        <w:rPr>
          <w:rFonts w:hint="default"/>
          <w:lang w:val="en-US" w:eastAsia="zh-CN"/>
        </w:rPr>
        <w:t>设备SN码</w:t>
      </w:r>
    </w:p>
    <w:p w14:paraId="5061EA8B">
      <w:pPr>
        <w:pStyle w:val="29"/>
        <w:bidi w:val="0"/>
        <w:rPr>
          <w:rFonts w:hint="default"/>
          <w:lang w:val="en-US" w:eastAsia="zh-CN"/>
        </w:rPr>
      </w:pPr>
      <w:r>
        <w:rPr>
          <w:rFonts w:hint="default"/>
          <w:lang w:val="en-US" w:eastAsia="zh-CN"/>
        </w:rPr>
        <w:t>IP地址</w:t>
      </w:r>
    </w:p>
    <w:p w14:paraId="09E1F7F0">
      <w:pPr>
        <w:pStyle w:val="29"/>
        <w:bidi w:val="0"/>
        <w:rPr>
          <w:rFonts w:hint="default"/>
          <w:lang w:val="en-US" w:eastAsia="zh-CN"/>
        </w:rPr>
      </w:pPr>
      <w:r>
        <w:rPr>
          <w:rFonts w:hint="default"/>
          <w:lang w:val="en-US" w:eastAsia="zh-CN"/>
        </w:rPr>
        <w:t>取电路径</w:t>
      </w:r>
    </w:p>
    <w:p w14:paraId="4A43BA75">
      <w:pPr>
        <w:pStyle w:val="29"/>
        <w:bidi w:val="0"/>
        <w:rPr>
          <w:rFonts w:hint="default"/>
          <w:lang w:val="en-US" w:eastAsia="zh-CN"/>
        </w:rPr>
      </w:pPr>
      <w:r>
        <w:rPr>
          <w:rFonts w:hint="default"/>
          <w:lang w:val="en-US" w:eastAsia="zh-CN"/>
        </w:rPr>
        <w:t>维修履历</w:t>
      </w:r>
    </w:p>
    <w:p w14:paraId="7221E7B1">
      <w:pPr>
        <w:pStyle w:val="29"/>
        <w:numPr>
          <w:ilvl w:val="0"/>
          <w:numId w:val="4"/>
        </w:numPr>
        <w:bidi w:val="0"/>
        <w:ind w:left="425" w:leftChars="0" w:hanging="425" w:firstLineChars="0"/>
        <w:rPr>
          <w:rFonts w:hint="default"/>
          <w:lang w:val="en-US" w:eastAsia="zh-CN"/>
        </w:rPr>
      </w:pPr>
      <w:r>
        <w:rPr>
          <w:rFonts w:hint="default"/>
          <w:lang w:val="en-US" w:eastAsia="zh-CN"/>
        </w:rPr>
        <w:t>定期报告</w:t>
      </w:r>
    </w:p>
    <w:p w14:paraId="27C265DE">
      <w:pPr>
        <w:pStyle w:val="29"/>
        <w:bidi w:val="0"/>
        <w:rPr>
          <w:rFonts w:hint="default"/>
          <w:lang w:val="en-US" w:eastAsia="zh-CN"/>
        </w:rPr>
      </w:pPr>
      <w:r>
        <w:rPr>
          <w:rFonts w:hint="default"/>
          <w:lang w:val="en-US" w:eastAsia="zh-CN"/>
        </w:rPr>
        <w:t>每季度末向甲方提交《在线率统计表》，剔除因市政施工、供电局停电等非乙方原因造成的离线。</w:t>
      </w:r>
    </w:p>
    <w:p w14:paraId="6BCCBEC6">
      <w:pPr>
        <w:pStyle w:val="28"/>
        <w:bidi w:val="0"/>
        <w:rPr>
          <w:rFonts w:hint="default"/>
          <w:lang w:val="en-US" w:eastAsia="zh-CN"/>
        </w:rPr>
      </w:pPr>
      <w:bookmarkStart w:id="11" w:name="_Toc24112"/>
      <w:r>
        <w:rPr>
          <w:rFonts w:hint="default"/>
          <w:lang w:val="en-US" w:eastAsia="zh-CN"/>
        </w:rPr>
        <w:t>服务等级协议（SLA）与考核</w:t>
      </w:r>
      <w:bookmarkEnd w:id="11"/>
    </w:p>
    <w:p w14:paraId="2FC0A72E">
      <w:pPr>
        <w:pStyle w:val="30"/>
        <w:bidi w:val="0"/>
        <w:rPr>
          <w:rFonts w:hint="default"/>
          <w:lang w:val="en-US" w:eastAsia="zh-CN"/>
        </w:rPr>
      </w:pPr>
      <w:bookmarkStart w:id="12" w:name="_Toc24007"/>
      <w:r>
        <w:rPr>
          <w:rFonts w:hint="default"/>
          <w:lang w:val="en-US" w:eastAsia="zh-CN"/>
        </w:rPr>
        <w:t>在线率考核</w:t>
      </w:r>
      <w:bookmarkEnd w:id="12"/>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1249"/>
        <w:gridCol w:w="1494"/>
        <w:gridCol w:w="3787"/>
      </w:tblGrid>
      <w:tr w14:paraId="225C9B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804C2B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A5C01D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目标值</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E299BD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考核周期</w:t>
            </w:r>
          </w:p>
        </w:tc>
        <w:tc>
          <w:tcPr>
            <w:tcW w:w="378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7A90D33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奖惩标准</w:t>
            </w:r>
          </w:p>
        </w:tc>
      </w:tr>
      <w:tr w14:paraId="42CC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6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F291A7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月度平均在线率</w:t>
            </w:r>
          </w:p>
        </w:tc>
        <w:tc>
          <w:tcPr>
            <w:tcW w:w="124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01780D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≥98%</w:t>
            </w:r>
          </w:p>
        </w:tc>
        <w:tc>
          <w:tcPr>
            <w:tcW w:w="149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326266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月度</w:t>
            </w:r>
          </w:p>
        </w:tc>
        <w:tc>
          <w:tcPr>
            <w:tcW w:w="378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545B616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每低于0.5%，扣除当月运维费2%</w:t>
            </w:r>
          </w:p>
        </w:tc>
      </w:tr>
    </w:tbl>
    <w:p w14:paraId="2659D6F9">
      <w:pPr>
        <w:pStyle w:val="29"/>
        <w:bidi w:val="0"/>
        <w:rPr>
          <w:rFonts w:hint="default"/>
          <w:lang w:val="en-US" w:eastAsia="zh-CN"/>
        </w:rPr>
      </w:pPr>
      <w:r>
        <w:rPr>
          <w:rFonts w:hint="default"/>
          <w:lang w:val="en-US" w:eastAsia="zh-CN"/>
        </w:rPr>
        <w:t>特别说明：离线原因属市政施工、供电局停电等非乙方责任的，不计入在线率统计。</w:t>
      </w:r>
    </w:p>
    <w:p w14:paraId="2071C1B5">
      <w:pPr>
        <w:pStyle w:val="30"/>
        <w:bidi w:val="0"/>
        <w:rPr>
          <w:rFonts w:hint="default"/>
          <w:lang w:val="en-US" w:eastAsia="zh-CN"/>
        </w:rPr>
      </w:pPr>
      <w:bookmarkStart w:id="13" w:name="_Toc367"/>
      <w:r>
        <w:rPr>
          <w:rFonts w:hint="default"/>
          <w:lang w:val="en-US" w:eastAsia="zh-CN"/>
        </w:rPr>
        <w:t>响应及时性考核</w:t>
      </w:r>
      <w:bookmarkEnd w:id="13"/>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15"/>
        <w:gridCol w:w="2943"/>
        <w:gridCol w:w="3737"/>
      </w:tblGrid>
      <w:tr w14:paraId="1C06F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3DF85581">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故障等级</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CFE6F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到场时限</w:t>
            </w:r>
          </w:p>
        </w:tc>
        <w:tc>
          <w:tcPr>
            <w:tcW w:w="373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4AE1B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违约扣款</w:t>
            </w:r>
          </w:p>
        </w:tc>
      </w:tr>
      <w:tr w14:paraId="12204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81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96D63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一级故障</w:t>
            </w:r>
          </w:p>
        </w:tc>
        <w:tc>
          <w:tcPr>
            <w:tcW w:w="2943"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CB6AA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30分钟内到场</w:t>
            </w:r>
          </w:p>
        </w:tc>
        <w:tc>
          <w:tcPr>
            <w:tcW w:w="373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2D9687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每次扣除年运维费2%</w:t>
            </w:r>
          </w:p>
        </w:tc>
      </w:tr>
    </w:tbl>
    <w:p w14:paraId="115D1AC6">
      <w:pPr>
        <w:pStyle w:val="30"/>
        <w:bidi w:val="0"/>
        <w:rPr>
          <w:rFonts w:hint="default"/>
          <w:lang w:val="en-US" w:eastAsia="zh-CN"/>
        </w:rPr>
      </w:pPr>
      <w:bookmarkStart w:id="14" w:name="_Toc1635"/>
      <w:r>
        <w:rPr>
          <w:rFonts w:hint="default"/>
          <w:lang w:val="en-US" w:eastAsia="zh-CN"/>
        </w:rPr>
        <w:t>质量考核</w:t>
      </w:r>
      <w:bookmarkEnd w:id="14"/>
    </w:p>
    <w:p w14:paraId="349CB585">
      <w:pPr>
        <w:pStyle w:val="29"/>
        <w:bidi w:val="0"/>
        <w:rPr>
          <w:rFonts w:hint="default"/>
          <w:lang w:val="en-US" w:eastAsia="zh-CN"/>
        </w:rPr>
      </w:pPr>
      <w:r>
        <w:rPr>
          <w:rFonts w:hint="default"/>
          <w:lang w:val="en-US" w:eastAsia="zh-CN"/>
        </w:rPr>
        <w:t>因乙方维护不当（如未扎紧挂箱门导致进水）造成设备烧毁的，由乙方免费更换同规格设备，不计入材料费分担范围。</w:t>
      </w:r>
    </w:p>
    <w:p w14:paraId="25CD73FE">
      <w:pPr>
        <w:pStyle w:val="28"/>
        <w:bidi w:val="0"/>
        <w:rPr>
          <w:rFonts w:hint="default"/>
          <w:lang w:val="en-US" w:eastAsia="zh-CN"/>
        </w:rPr>
      </w:pPr>
      <w:bookmarkStart w:id="15" w:name="_Toc25139"/>
      <w:r>
        <w:rPr>
          <w:rFonts w:hint="default"/>
          <w:lang w:val="en-US" w:eastAsia="zh-CN"/>
        </w:rPr>
        <w:t>备品备件管理</w:t>
      </w:r>
      <w:bookmarkEnd w:id="15"/>
    </w:p>
    <w:p w14:paraId="6C4FDF64">
      <w:pPr>
        <w:pStyle w:val="30"/>
        <w:bidi w:val="0"/>
        <w:rPr>
          <w:rFonts w:hint="default"/>
          <w:lang w:val="en-US" w:eastAsia="zh-CN"/>
        </w:rPr>
      </w:pPr>
      <w:bookmarkStart w:id="16" w:name="_Toc8045"/>
      <w:r>
        <w:rPr>
          <w:rFonts w:hint="default"/>
          <w:lang w:val="en-US" w:eastAsia="zh-CN"/>
        </w:rPr>
        <w:t>备机机制</w:t>
      </w:r>
      <w:bookmarkEnd w:id="16"/>
    </w:p>
    <w:p w14:paraId="39CE2899">
      <w:pPr>
        <w:pStyle w:val="29"/>
        <w:bidi w:val="0"/>
        <w:rPr>
          <w:rFonts w:hint="default"/>
          <w:lang w:val="en-US" w:eastAsia="zh-CN"/>
        </w:rPr>
      </w:pPr>
      <w:r>
        <w:rPr>
          <w:rFonts w:hint="default"/>
          <w:lang w:val="en-US" w:eastAsia="zh-CN"/>
        </w:rPr>
        <w:t>乙方常备不少于总数5%的周转备机（含常用型号摄像机、电源、光纤收发器）</w:t>
      </w:r>
    </w:p>
    <w:p w14:paraId="0FC657C0">
      <w:pPr>
        <w:pStyle w:val="29"/>
        <w:bidi w:val="0"/>
        <w:rPr>
          <w:rFonts w:hint="default"/>
          <w:lang w:val="en-US" w:eastAsia="zh-CN"/>
        </w:rPr>
      </w:pPr>
      <w:r>
        <w:rPr>
          <w:rFonts w:hint="default"/>
          <w:lang w:val="en-US" w:eastAsia="zh-CN"/>
        </w:rPr>
        <w:t>前端摄像机故障且48小时内无法修复的，直接更换备机</w:t>
      </w:r>
    </w:p>
    <w:p w14:paraId="503FCD17">
      <w:pPr>
        <w:pStyle w:val="30"/>
        <w:bidi w:val="0"/>
        <w:rPr>
          <w:rFonts w:hint="default"/>
          <w:lang w:val="en-US" w:eastAsia="zh-CN"/>
        </w:rPr>
      </w:pPr>
      <w:bookmarkStart w:id="17" w:name="_Toc943"/>
      <w:r>
        <w:rPr>
          <w:rFonts w:hint="default"/>
          <w:lang w:val="en-US" w:eastAsia="zh-CN"/>
        </w:rPr>
        <w:t>费用分担</w:t>
      </w:r>
      <w:bookmarkEnd w:id="17"/>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83"/>
        <w:gridCol w:w="4612"/>
      </w:tblGrid>
      <w:tr w14:paraId="43B50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D927FBF">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情形</w:t>
            </w:r>
          </w:p>
        </w:tc>
        <w:tc>
          <w:tcPr>
            <w:tcW w:w="4612"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5E289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费用承担</w:t>
            </w:r>
          </w:p>
        </w:tc>
      </w:tr>
      <w:tr w14:paraId="1A871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3C448A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质保期内硬件损坏</w:t>
            </w:r>
          </w:p>
        </w:tc>
        <w:tc>
          <w:tcPr>
            <w:tcW w:w="4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60CA28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乙方负责协调原厂更换</w:t>
            </w:r>
          </w:p>
        </w:tc>
      </w:tr>
      <w:tr w14:paraId="38092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767984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质保期外单次零件≤200元</w:t>
            </w:r>
          </w:p>
        </w:tc>
        <w:tc>
          <w:tcPr>
            <w:tcW w:w="4612"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9EAA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乙方承担</w:t>
            </w:r>
          </w:p>
        </w:tc>
      </w:tr>
      <w:tr w14:paraId="7306E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8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5D1C3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质保期外单次零件＞200元</w:t>
            </w:r>
          </w:p>
        </w:tc>
        <w:tc>
          <w:tcPr>
            <w:tcW w:w="4612"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6B4C3F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甲方承担材料费，乙方免人工费</w:t>
            </w:r>
          </w:p>
        </w:tc>
      </w:tr>
    </w:tbl>
    <w:p w14:paraId="05F2D3F4">
      <w:pPr>
        <w:pStyle w:val="28"/>
        <w:bidi w:val="0"/>
        <w:rPr>
          <w:rFonts w:hint="default"/>
          <w:lang w:val="en-US" w:eastAsia="zh-CN"/>
        </w:rPr>
      </w:pPr>
      <w:bookmarkStart w:id="18" w:name="_Toc6472"/>
      <w:r>
        <w:rPr>
          <w:rFonts w:hint="default"/>
          <w:lang w:val="en-US" w:eastAsia="zh-CN"/>
        </w:rPr>
        <w:t>信息安全与保密管理</w:t>
      </w:r>
      <w:bookmarkEnd w:id="18"/>
    </w:p>
    <w:p w14:paraId="767E27FD">
      <w:pPr>
        <w:pStyle w:val="30"/>
        <w:bidi w:val="0"/>
        <w:rPr>
          <w:rFonts w:hint="default"/>
          <w:lang w:val="en-US" w:eastAsia="zh-CN"/>
        </w:rPr>
      </w:pPr>
      <w:bookmarkStart w:id="19" w:name="_Toc3787"/>
      <w:r>
        <w:rPr>
          <w:rFonts w:hint="default"/>
          <w:lang w:val="en-US" w:eastAsia="zh-CN"/>
        </w:rPr>
        <w:t>保密要求</w:t>
      </w:r>
      <w:bookmarkEnd w:id="19"/>
    </w:p>
    <w:p w14:paraId="50AAE658">
      <w:pPr>
        <w:pStyle w:val="29"/>
        <w:bidi w:val="0"/>
        <w:rPr>
          <w:rFonts w:hint="default"/>
          <w:lang w:val="en-US" w:eastAsia="zh-CN"/>
        </w:rPr>
      </w:pPr>
      <w:r>
        <w:rPr>
          <w:rFonts w:hint="default"/>
          <w:lang w:val="en-US" w:eastAsia="zh-CN"/>
        </w:rPr>
        <w:t>所有乙方人员必须：</w:t>
      </w:r>
    </w:p>
    <w:p w14:paraId="2C4F7807">
      <w:pPr>
        <w:pStyle w:val="29"/>
        <w:bidi w:val="0"/>
        <w:rPr>
          <w:rFonts w:hint="default"/>
          <w:lang w:val="en-US" w:eastAsia="zh-CN"/>
        </w:rPr>
      </w:pPr>
      <w:r>
        <w:rPr>
          <w:rFonts w:hint="default"/>
          <w:lang w:val="en-US" w:eastAsia="zh-CN"/>
        </w:rPr>
        <w:t>签订《公安信息网安全保密承诺书》</w:t>
      </w:r>
    </w:p>
    <w:p w14:paraId="193DC048">
      <w:pPr>
        <w:pStyle w:val="29"/>
        <w:bidi w:val="0"/>
        <w:rPr>
          <w:rFonts w:hint="default"/>
          <w:lang w:val="en-US" w:eastAsia="zh-CN"/>
        </w:rPr>
      </w:pPr>
      <w:r>
        <w:rPr>
          <w:rFonts w:hint="default"/>
          <w:lang w:val="en-US" w:eastAsia="zh-CN"/>
        </w:rPr>
        <w:t>严禁携带未批准的移动存储设备连接平台服务器</w:t>
      </w:r>
    </w:p>
    <w:p w14:paraId="6E1C982C">
      <w:pPr>
        <w:pStyle w:val="29"/>
        <w:bidi w:val="0"/>
        <w:rPr>
          <w:rFonts w:hint="default"/>
          <w:lang w:val="en-US" w:eastAsia="zh-CN"/>
        </w:rPr>
      </w:pPr>
      <w:r>
        <w:rPr>
          <w:rFonts w:hint="default"/>
          <w:lang w:val="en-US" w:eastAsia="zh-CN"/>
        </w:rPr>
        <w:t>严禁泄露IP地址、端口信息、平台账号</w:t>
      </w:r>
      <w:r>
        <w:rPr>
          <w:rFonts w:hint="eastAsia"/>
          <w:lang w:val="en-US" w:eastAsia="zh-CN"/>
        </w:rPr>
        <w:t>，</w:t>
      </w:r>
      <w:r>
        <w:rPr>
          <w:rFonts w:hint="default"/>
          <w:lang w:val="en-US" w:eastAsia="zh-CN"/>
        </w:rPr>
        <w:t>严禁擅自拷贝、转发、外泄监控视频画面或历史录像</w:t>
      </w:r>
    </w:p>
    <w:p w14:paraId="3CDE92BE">
      <w:pPr>
        <w:pStyle w:val="30"/>
        <w:bidi w:val="0"/>
        <w:rPr>
          <w:rFonts w:hint="default"/>
          <w:lang w:val="en-US" w:eastAsia="zh-CN"/>
        </w:rPr>
      </w:pPr>
      <w:bookmarkStart w:id="20" w:name="_Toc21256"/>
      <w:r>
        <w:rPr>
          <w:rFonts w:hint="default"/>
          <w:lang w:val="en-US" w:eastAsia="zh-CN"/>
        </w:rPr>
        <w:t>人员管理</w:t>
      </w:r>
      <w:bookmarkEnd w:id="20"/>
    </w:p>
    <w:p w14:paraId="762465D0">
      <w:pPr>
        <w:pStyle w:val="29"/>
        <w:bidi w:val="0"/>
        <w:rPr>
          <w:rFonts w:hint="default"/>
          <w:lang w:val="en-US" w:eastAsia="zh-CN"/>
        </w:rPr>
      </w:pPr>
      <w:r>
        <w:rPr>
          <w:rFonts w:hint="default"/>
          <w:lang w:val="en-US" w:eastAsia="zh-CN"/>
        </w:rPr>
        <w:t>派驻现场运维人员必须通过公安机关背景审查</w:t>
      </w:r>
    </w:p>
    <w:p w14:paraId="413C9887">
      <w:pPr>
        <w:pStyle w:val="29"/>
        <w:bidi w:val="0"/>
        <w:rPr>
          <w:rFonts w:hint="default"/>
          <w:lang w:val="en-US" w:eastAsia="zh-CN"/>
        </w:rPr>
      </w:pPr>
      <w:r>
        <w:rPr>
          <w:rFonts w:hint="default"/>
          <w:lang w:val="en-US" w:eastAsia="zh-CN"/>
        </w:rPr>
        <w:t>人员身份证信息备案至甲方</w:t>
      </w:r>
      <w:r>
        <w:rPr>
          <w:rFonts w:hint="eastAsia"/>
          <w:lang w:val="en-US" w:eastAsia="zh-CN"/>
        </w:rPr>
        <w:t>，</w:t>
      </w:r>
      <w:r>
        <w:rPr>
          <w:rFonts w:hint="default"/>
          <w:lang w:val="en-US" w:eastAsia="zh-CN"/>
        </w:rPr>
        <w:t>所有运维操作在甲方监督下或通过堡垒机进行</w:t>
      </w:r>
    </w:p>
    <w:p w14:paraId="6CC3D27A">
      <w:pPr>
        <w:pStyle w:val="28"/>
        <w:bidi w:val="0"/>
        <w:rPr>
          <w:rFonts w:hint="default"/>
          <w:lang w:val="en-US" w:eastAsia="zh-CN"/>
        </w:rPr>
      </w:pPr>
      <w:bookmarkStart w:id="21" w:name="_Toc243"/>
      <w:r>
        <w:rPr>
          <w:rFonts w:hint="default"/>
          <w:lang w:val="en-US" w:eastAsia="zh-CN"/>
        </w:rPr>
        <w:t>服务实施里程碑计划</w:t>
      </w:r>
      <w:bookmarkEnd w:id="21"/>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9"/>
        <w:gridCol w:w="3250"/>
        <w:gridCol w:w="3056"/>
      </w:tblGrid>
      <w:tr w14:paraId="15818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89"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07FCF2C">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时间节点</w:t>
            </w:r>
          </w:p>
        </w:tc>
        <w:tc>
          <w:tcPr>
            <w:tcW w:w="325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7FDC5F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305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7C448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输出成果</w:t>
            </w:r>
          </w:p>
        </w:tc>
      </w:tr>
      <w:tr w14:paraId="7DAE48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9647C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2025年5月（</w:t>
            </w:r>
            <w:r>
              <w:rPr>
                <w:rFonts w:hint="eastAsia" w:ascii="Segoe UI" w:hAnsi="Segoe UI" w:eastAsia="Segoe UI" w:cs="Segoe UI"/>
                <w:i w:val="0"/>
                <w:iCs w:val="0"/>
                <w:caps w:val="0"/>
                <w:snapToGrid w:val="0"/>
                <w:color w:val="000000"/>
                <w:spacing w:val="0"/>
                <w:kern w:val="0"/>
                <w:sz w:val="18"/>
                <w:szCs w:val="18"/>
                <w:lang w:val="en-US" w:eastAsia="zh-CN"/>
              </w:rPr>
              <w:t>准备期</w:t>
            </w:r>
            <w:r>
              <w:rPr>
                <w:rFonts w:hint="default" w:ascii="Segoe UI" w:hAnsi="Segoe UI" w:eastAsia="Segoe UI" w:cs="Segoe UI"/>
                <w:i w:val="0"/>
                <w:iCs w:val="0"/>
                <w:caps w:val="0"/>
                <w:snapToGrid w:val="0"/>
                <w:color w:val="000000"/>
                <w:spacing w:val="0"/>
                <w:kern w:val="0"/>
                <w:sz w:val="18"/>
                <w:szCs w:val="18"/>
                <w:lang w:val="en-US" w:eastAsia="zh-CN"/>
              </w:rPr>
              <w:t>）</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D055B4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人员到位、备件准备、资产盘点</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3922EC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人员备案、备件清单、初始台账</w:t>
            </w:r>
          </w:p>
        </w:tc>
      </w:tr>
      <w:tr w14:paraId="45CF9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9A64C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2025年6月（首月）</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27E0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首次全覆盖巡检、建立运维基线</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4338A1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首月巡检报告、在线率基线</w:t>
            </w:r>
          </w:p>
        </w:tc>
      </w:tr>
      <w:tr w14:paraId="01610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AECE14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2025年Q3</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5A9F1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季度深度保养、首季在线率统计</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BE45BD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深度保养记录、Q3在线率报表</w:t>
            </w:r>
          </w:p>
        </w:tc>
      </w:tr>
      <w:tr w14:paraId="19F4B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DABC6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2025年Q4</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4DD785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季度深度保养、资产台账更新</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73A9F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深度保养记录、Q4在线率报表</w:t>
            </w:r>
          </w:p>
        </w:tc>
      </w:tr>
      <w:tr w14:paraId="1B5B9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BF0B1B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2026年Q1</w:t>
            </w:r>
          </w:p>
        </w:tc>
        <w:tc>
          <w:tcPr>
            <w:tcW w:w="325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918B10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季度深度保养、资产台账更新</w:t>
            </w:r>
          </w:p>
        </w:tc>
        <w:tc>
          <w:tcPr>
            <w:tcW w:w="305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DCA3BD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深度保养记录、Q1在线率报表</w:t>
            </w:r>
          </w:p>
        </w:tc>
      </w:tr>
      <w:tr w14:paraId="3D3BF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89"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CA6C5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2026年Q2</w:t>
            </w:r>
          </w:p>
        </w:tc>
        <w:tc>
          <w:tcPr>
            <w:tcW w:w="325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724653B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季度深度保养、年度总结报告</w:t>
            </w:r>
          </w:p>
        </w:tc>
        <w:tc>
          <w:tcPr>
            <w:tcW w:w="305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2BDB91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年度运维总结、续签评估</w:t>
            </w:r>
          </w:p>
        </w:tc>
      </w:tr>
    </w:tbl>
    <w:p w14:paraId="0B688ACE">
      <w:pPr>
        <w:pStyle w:val="28"/>
        <w:bidi w:val="0"/>
        <w:rPr>
          <w:rFonts w:hint="default"/>
          <w:lang w:val="en-US" w:eastAsia="zh-CN"/>
        </w:rPr>
      </w:pPr>
      <w:bookmarkStart w:id="22" w:name="_Toc3203"/>
      <w:r>
        <w:rPr>
          <w:rFonts w:hint="default"/>
          <w:lang w:val="en-US" w:eastAsia="zh-CN"/>
        </w:rPr>
        <w:t>质量保障与风险控制</w:t>
      </w:r>
      <w:bookmarkEnd w:id="22"/>
    </w:p>
    <w:p w14:paraId="713C4765">
      <w:pPr>
        <w:pStyle w:val="30"/>
        <w:bidi w:val="0"/>
        <w:rPr>
          <w:rFonts w:hint="default"/>
          <w:lang w:val="en-US" w:eastAsia="zh-CN"/>
        </w:rPr>
      </w:pPr>
      <w:bookmarkStart w:id="23" w:name="_Toc23118"/>
      <w:r>
        <w:rPr>
          <w:rFonts w:hint="default"/>
          <w:lang w:val="en-US" w:eastAsia="zh-CN"/>
        </w:rPr>
        <w:t>质量保障措施</w:t>
      </w:r>
      <w:bookmarkEnd w:id="23"/>
    </w:p>
    <w:p w14:paraId="60DE42CF">
      <w:pPr>
        <w:pStyle w:val="29"/>
        <w:bidi w:val="0"/>
        <w:rPr>
          <w:rFonts w:hint="default"/>
          <w:lang w:val="en-US" w:eastAsia="zh-CN"/>
        </w:rPr>
      </w:pPr>
      <w:r>
        <w:rPr>
          <w:rFonts w:hint="default"/>
          <w:lang w:val="en-US" w:eastAsia="zh-CN"/>
        </w:rPr>
        <w:t>双重巡检：运维工程师自检+项目负责人抽检</w:t>
      </w:r>
    </w:p>
    <w:p w14:paraId="19F10EA2">
      <w:pPr>
        <w:pStyle w:val="29"/>
        <w:bidi w:val="0"/>
        <w:rPr>
          <w:rFonts w:hint="default"/>
          <w:lang w:val="en-US" w:eastAsia="zh-CN"/>
        </w:rPr>
      </w:pPr>
      <w:r>
        <w:rPr>
          <w:rFonts w:hint="default"/>
          <w:lang w:val="en-US" w:eastAsia="zh-CN"/>
        </w:rPr>
        <w:t>工单闭环：所有故障处理均通过工单系统记录、跟踪、回访</w:t>
      </w:r>
    </w:p>
    <w:p w14:paraId="0BD6DFBF">
      <w:pPr>
        <w:pStyle w:val="29"/>
        <w:bidi w:val="0"/>
        <w:rPr>
          <w:rFonts w:hint="default"/>
          <w:lang w:val="en-US" w:eastAsia="zh-CN"/>
        </w:rPr>
      </w:pPr>
      <w:r>
        <w:rPr>
          <w:rFonts w:hint="default"/>
          <w:lang w:val="en-US" w:eastAsia="zh-CN"/>
        </w:rPr>
        <w:t>月度复盘：每月召开项目内部复盘会，分析故障原因与改进措施</w:t>
      </w:r>
    </w:p>
    <w:p w14:paraId="57C67290">
      <w:pPr>
        <w:pStyle w:val="30"/>
        <w:bidi w:val="0"/>
        <w:rPr>
          <w:rFonts w:hint="default"/>
          <w:lang w:val="en-US" w:eastAsia="zh-CN"/>
        </w:rPr>
      </w:pPr>
      <w:bookmarkStart w:id="24" w:name="_Toc20009"/>
      <w:r>
        <w:rPr>
          <w:rFonts w:hint="default"/>
          <w:lang w:val="en-US" w:eastAsia="zh-CN"/>
        </w:rPr>
        <w:t>风险控制</w:t>
      </w:r>
      <w:bookmarkEnd w:id="24"/>
    </w:p>
    <w:tbl>
      <w:tblPr>
        <w:tblStyle w:val="20"/>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5"/>
        <w:gridCol w:w="2842"/>
        <w:gridCol w:w="4468"/>
      </w:tblGrid>
      <w:tr w14:paraId="54220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48E53F22">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风险类型</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5318F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风险描述</w:t>
            </w:r>
          </w:p>
        </w:tc>
        <w:tc>
          <w:tcPr>
            <w:tcW w:w="44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65508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应对措施</w:t>
            </w:r>
          </w:p>
        </w:tc>
      </w:tr>
      <w:tr w14:paraId="6D274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D560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人员风险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10BFD0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关键人员离职</w:t>
            </w:r>
          </w:p>
        </w:tc>
        <w:tc>
          <w:tcPr>
            <w:tcW w:w="44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EA3BC1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建立AB角机制，确保人员冗余</w:t>
            </w:r>
          </w:p>
        </w:tc>
      </w:tr>
      <w:tr w14:paraId="399AF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C635C2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备件风险</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D79833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备件不足导致超时</w:t>
            </w:r>
          </w:p>
        </w:tc>
        <w:tc>
          <w:tcPr>
            <w:tcW w:w="44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39A2C8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每月盘点备件库存，低于阈值及时补充</w:t>
            </w:r>
          </w:p>
        </w:tc>
      </w:tr>
      <w:tr w14:paraId="798D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2B02B3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恶劣天气</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2E39A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台风、暴雨影响抢修</w:t>
            </w:r>
          </w:p>
        </w:tc>
        <w:tc>
          <w:tcPr>
            <w:tcW w:w="44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F2FA8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提前预警，储备应急物资，调整作业计划</w:t>
            </w:r>
          </w:p>
        </w:tc>
      </w:tr>
      <w:tr w14:paraId="08241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8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7775B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市政施工</w:t>
            </w:r>
          </w:p>
        </w:tc>
        <w:tc>
          <w:tcPr>
            <w:tcW w:w="2842"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436934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非乙方责任的线路中断</w:t>
            </w:r>
          </w:p>
        </w:tc>
        <w:tc>
          <w:tcPr>
            <w:tcW w:w="44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9CE0C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及时记录并告知甲方，不计入在线率考核</w:t>
            </w:r>
          </w:p>
        </w:tc>
      </w:tr>
    </w:tbl>
    <w:p w14:paraId="259ABD02">
      <w:pPr>
        <w:pStyle w:val="28"/>
        <w:bidi w:val="0"/>
        <w:rPr>
          <w:rFonts w:hint="default"/>
          <w:lang w:val="en-US" w:eastAsia="zh-CN"/>
        </w:rPr>
      </w:pPr>
      <w:bookmarkStart w:id="25" w:name="_Toc3797"/>
      <w:r>
        <w:rPr>
          <w:rFonts w:hint="default"/>
          <w:lang w:val="en-US" w:eastAsia="zh-CN"/>
        </w:rPr>
        <w:t>费用结算与支付</w:t>
      </w:r>
      <w:bookmarkEnd w:id="25"/>
    </w:p>
    <w:p w14:paraId="4602E972">
      <w:pPr>
        <w:pStyle w:val="30"/>
        <w:bidi w:val="0"/>
        <w:rPr>
          <w:rFonts w:hint="default"/>
          <w:lang w:val="en-US" w:eastAsia="zh-CN"/>
        </w:rPr>
      </w:pPr>
      <w:bookmarkStart w:id="26" w:name="_Toc7246"/>
      <w:r>
        <w:rPr>
          <w:rFonts w:hint="default"/>
          <w:lang w:val="en-US" w:eastAsia="zh-CN"/>
        </w:rPr>
        <w:t>支付方式</w:t>
      </w:r>
      <w:bookmarkEnd w:id="26"/>
    </w:p>
    <w:p w14:paraId="61D6EF34">
      <w:pPr>
        <w:pStyle w:val="29"/>
        <w:bidi w:val="0"/>
        <w:rPr>
          <w:rFonts w:hint="default"/>
          <w:lang w:val="en-US" w:eastAsia="zh-CN"/>
        </w:rPr>
      </w:pPr>
      <w:r>
        <w:rPr>
          <w:rFonts w:hint="default"/>
          <w:lang w:val="en-US" w:eastAsia="zh-CN"/>
        </w:rPr>
        <w:t>采取“季度支付”模式：</w:t>
      </w:r>
    </w:p>
    <w:p w14:paraId="6D70ED36">
      <w:pPr>
        <w:pStyle w:val="29"/>
        <w:bidi w:val="0"/>
        <w:rPr>
          <w:rFonts w:hint="default"/>
          <w:lang w:val="en-US" w:eastAsia="zh-CN"/>
        </w:rPr>
      </w:pPr>
      <w:r>
        <w:rPr>
          <w:rFonts w:hint="default"/>
          <w:lang w:val="en-US" w:eastAsia="zh-CN"/>
        </w:rPr>
        <w:t>每季度结束后，乙方提交巡检报告、维修记录及在线率统计表</w:t>
      </w:r>
    </w:p>
    <w:p w14:paraId="58911861">
      <w:pPr>
        <w:pStyle w:val="29"/>
        <w:bidi w:val="0"/>
        <w:rPr>
          <w:rFonts w:hint="default"/>
          <w:lang w:val="en-US" w:eastAsia="zh-CN"/>
        </w:rPr>
      </w:pPr>
      <w:r>
        <w:rPr>
          <w:rFonts w:hint="default"/>
          <w:lang w:val="en-US" w:eastAsia="zh-CN"/>
        </w:rPr>
        <w:t>甲方审核通过并收到发票后，15个工作日内支付该季度费用</w:t>
      </w:r>
    </w:p>
    <w:p w14:paraId="67EFEC15">
      <w:pPr>
        <w:pStyle w:val="30"/>
        <w:bidi w:val="0"/>
        <w:rPr>
          <w:rFonts w:hint="default"/>
          <w:lang w:val="en-US" w:eastAsia="zh-CN"/>
        </w:rPr>
      </w:pPr>
      <w:bookmarkStart w:id="27" w:name="_Toc22743"/>
      <w:r>
        <w:rPr>
          <w:rFonts w:hint="default"/>
          <w:lang w:val="en-US" w:eastAsia="zh-CN"/>
        </w:rPr>
        <w:t>费用组成</w:t>
      </w:r>
      <w:bookmarkEnd w:id="27"/>
    </w:p>
    <w:p w14:paraId="3966F83D">
      <w:pPr>
        <w:pStyle w:val="29"/>
        <w:bidi w:val="0"/>
        <w:rPr>
          <w:rFonts w:hint="default"/>
          <w:lang w:val="en-US" w:eastAsia="zh-CN"/>
        </w:rPr>
      </w:pPr>
      <w:r>
        <w:rPr>
          <w:rFonts w:hint="default"/>
          <w:lang w:val="en-US" w:eastAsia="zh-CN"/>
        </w:rPr>
        <w:t>合同总价含备件费、人工费、车辆费、管理费及税金，具体金额以合同约定为准。</w:t>
      </w:r>
    </w:p>
    <w:p w14:paraId="1608699D">
      <w:pPr>
        <w:pStyle w:val="28"/>
        <w:bidi w:val="0"/>
        <w:rPr>
          <w:rFonts w:hint="default"/>
          <w:lang w:val="en-US" w:eastAsia="zh-CN"/>
        </w:rPr>
      </w:pPr>
      <w:bookmarkStart w:id="28" w:name="_Toc14859"/>
      <w:r>
        <w:rPr>
          <w:rFonts w:hint="default"/>
          <w:lang w:val="en-US" w:eastAsia="zh-CN"/>
        </w:rPr>
        <w:t>本方案的管理</w:t>
      </w:r>
      <w:bookmarkEnd w:id="28"/>
    </w:p>
    <w:p w14:paraId="6B81D60C">
      <w:pPr>
        <w:pStyle w:val="29"/>
        <w:bidi w:val="0"/>
        <w:rPr>
          <w:rFonts w:hint="default"/>
          <w:lang w:val="en-US" w:eastAsia="zh-CN"/>
        </w:rPr>
      </w:pPr>
      <w:r>
        <w:rPr>
          <w:rFonts w:hint="default"/>
          <w:lang w:val="en-US" w:eastAsia="zh-CN"/>
        </w:rPr>
        <w:t>本方案自批准之日起生效，有效期至2026年5月31日。方案执行过程中如需调整，须报运维部经理审核、甲方确认后方可变更。</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91FD2">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E0701BFA"/>
    <w:multiLevelType w:val="singleLevel"/>
    <w:tmpl w:val="E0701BFA"/>
    <w:lvl w:ilvl="0" w:tentative="0">
      <w:start w:val="1"/>
      <w:numFmt w:val="decimal"/>
      <w:lvlText w:val="%1."/>
      <w:lvlJc w:val="left"/>
      <w:pPr>
        <w:ind w:left="425" w:hanging="425"/>
      </w:pPr>
      <w:rPr>
        <w:rFonts w:hint="default"/>
      </w:rPr>
    </w:lvl>
  </w:abstractNum>
  <w:abstractNum w:abstractNumId="2">
    <w:nsid w:val="FE29FA98"/>
    <w:multiLevelType w:val="singleLevel"/>
    <w:tmpl w:val="FE29FA98"/>
    <w:lvl w:ilvl="0" w:tentative="0">
      <w:start w:val="1"/>
      <w:numFmt w:val="decimal"/>
      <w:lvlText w:val="%1."/>
      <w:lvlJc w:val="left"/>
      <w:pPr>
        <w:ind w:left="425" w:hanging="425"/>
      </w:pPr>
      <w:rPr>
        <w:rFonts w:hint="default"/>
      </w:rPr>
    </w:lvl>
  </w:abstractNum>
  <w:abstractNum w:abstractNumId="3">
    <w:nsid w:val="08BA1DA2"/>
    <w:multiLevelType w:val="singleLevel"/>
    <w:tmpl w:val="08BA1DA2"/>
    <w:lvl w:ilvl="0" w:tentative="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0385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1906</Words>
  <Characters>2085</Characters>
  <Lines>0</Lines>
  <Paragraphs>0</Paragraphs>
  <TotalTime>0</TotalTime>
  <ScaleCrop>false</ScaleCrop>
  <LinksUpToDate>false</LinksUpToDate>
  <CharactersWithSpaces>2210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2026-05-07T08:14:21Z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