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30092"/>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肇庆市天鹰生物科技有限公司</w:t>
      </w:r>
      <w:bookmarkEnd w:id="0"/>
    </w:p>
    <w:p>
      <w:pPr>
        <w:keepNext w:val="0"/>
        <w:keepLines w:val="0"/>
        <w:pageBreakBefore w:val="0"/>
        <w:widowControl w:val="0"/>
        <w:suppressLineNumbers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ascii="黑体" w:eastAsia="黑体" w:hAnsi="黑体" w:cs="黑体" w:hint="default"/>
          <w:b/>
          <w:bCs/>
          <w:snapToGrid w:val="0"/>
          <w:color w:val="000000"/>
          <w:spacing w:val="-7"/>
          <w:kern w:val="0"/>
          <w:sz w:val="52"/>
          <w:szCs w:val="52"/>
          <w:lang w:val="en-US" w:eastAsia="zh-CN" w:bidi="ar-SA"/>
        </w:rPr>
      </w:pPr>
      <w:r>
        <w:rPr>
          <w:rFonts w:ascii="黑体" w:eastAsia="黑体" w:hAnsi="黑体" w:cs="黑体" w:hint="eastAsia"/>
          <w:b/>
          <w:bCs/>
          <w:snapToGrid w:val="0"/>
          <w:color w:val="000000"/>
          <w:spacing w:val="-7"/>
          <w:kern w:val="0"/>
          <w:sz w:val="52"/>
          <w:szCs w:val="52"/>
          <w:lang w:val="en-US" w:eastAsia="zh-CN" w:bidi="ar-SA"/>
        </w:rPr>
        <w:t>西安国豪生物科技有限公司生物工程技术研发试验分析系统运维服务项目-应急演练大纲</w:t>
      </w:r>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eastAsia"/>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TYSW</w:t>
      </w:r>
      <w:r>
        <w:rPr>
          <w:rFonts w:ascii="宋体" w:eastAsia="宋体" w:hAnsi="宋体" w:cs="宋体"/>
          <w:b/>
          <w:bCs/>
          <w:spacing w:val="-3"/>
          <w:sz w:val="24"/>
          <w:szCs w:val="24"/>
        </w:rPr>
        <w:t>-</w:t>
      </w:r>
      <w:r>
        <w:rPr>
          <w:rFonts w:ascii="宋体" w:hAnsi="宋体" w:cs="宋体" w:hint="eastAsia"/>
          <w:b/>
          <w:bCs/>
          <w:spacing w:val="-3"/>
          <w:sz w:val="24"/>
          <w:szCs w:val="24"/>
          <w:lang w:val="en-US" w:eastAsia="zh-CN"/>
        </w:rPr>
        <w:t>10</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2</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运维部</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2025.02.20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2025.02.20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lang w:val="en-US" w:eastAsia="zh-CN"/>
              </w:rPr>
              <w:t>吴智锋</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2025.02.20</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2025.0</w:t>
            </w:r>
            <w:r>
              <w:rPr>
                <w:rFonts w:ascii="宋体" w:hAnsi="宋体" w:cs="宋体" w:hint="eastAsia"/>
                <w:spacing w:val="3"/>
                <w:position w:val="1"/>
                <w:sz w:val="20"/>
                <w:szCs w:val="20"/>
                <w:lang w:val="en-US" w:eastAsia="zh-CN"/>
              </w:rPr>
              <w:t>2</w:t>
            </w:r>
            <w:r>
              <w:rPr>
                <w:rFonts w:ascii="宋体" w:eastAsia="宋体" w:hAnsi="宋体" w:cs="宋体"/>
                <w:spacing w:val="3"/>
                <w:position w:val="1"/>
                <w:sz w:val="20"/>
                <w:szCs w:val="20"/>
              </w:rPr>
              <w:t>.</w:t>
            </w:r>
            <w:r>
              <w:rPr>
                <w:rFonts w:ascii="宋体" w:hAnsi="宋体" w:cs="宋体" w:hint="eastAsia"/>
                <w:spacing w:val="3"/>
                <w:position w:val="1"/>
                <w:sz w:val="20"/>
                <w:szCs w:val="20"/>
                <w:lang w:val="en-US" w:eastAsia="zh-CN"/>
              </w:rPr>
              <w:t>20</w:t>
            </w:r>
          </w:p>
        </w:tc>
        <w:tc>
          <w:tcPr>
            <w:tcW w:w="919"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吴智锋</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bookmarkStart w:id="1" w:name="_GoBack"/>
          <w:bookmarkEnd w:id="1"/>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_Toc30092 </w:instrText>
          </w:r>
          <w:r>
            <w:rPr>
              <w:rFonts w:ascii="宋体" w:eastAsia="宋体" w:hAnsi="宋体" w:cs="宋体" w:hint="eastAsia"/>
              <w:szCs w:val="24"/>
            </w:rPr>
            <w:fldChar w:fldCharType="separate"/>
          </w:r>
          <w:r>
            <w:rPr>
              <w:rFonts w:hint="eastAsia"/>
              <w:lang w:val="en-US" w:eastAsia="zh-CN"/>
            </w:rPr>
            <w:t>肇庆市天鹰生物科技有限公司</w:t>
          </w:r>
          <w:r>
            <w:tab/>
          </w:r>
          <w:r>
            <w:fldChar w:fldCharType="begin"/>
          </w:r>
          <w:r>
            <w:instrText xml:space="preserve"> PAGEREF _Toc30092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_Toc2484 </w:instrText>
          </w:r>
          <w:r>
            <w:rPr>
              <w:rFonts w:ascii="宋体" w:eastAsia="宋体" w:hAnsi="宋体" w:cs="宋体" w:hint="eastAsia"/>
              <w:szCs w:val="24"/>
            </w:rPr>
            <w:fldChar w:fldCharType="separate"/>
          </w:r>
          <w:r>
            <w:rPr>
              <w:rFonts w:hint="default"/>
              <w:lang w:val="en-US" w:eastAsia="zh-CN"/>
            </w:rPr>
            <w:t>1. 演练目的</w:t>
          </w:r>
          <w:r>
            <w:tab/>
          </w:r>
          <w:r>
            <w:fldChar w:fldCharType="begin"/>
          </w:r>
          <w:r>
            <w:instrText xml:space="preserve"> PAGEREF _Toc2484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_Toc21513 </w:instrText>
          </w:r>
          <w:r>
            <w:rPr>
              <w:rFonts w:ascii="宋体" w:eastAsia="宋体" w:hAnsi="宋体" w:cs="宋体" w:hint="eastAsia"/>
              <w:szCs w:val="24"/>
            </w:rPr>
            <w:fldChar w:fldCharType="separate"/>
          </w:r>
          <w:r>
            <w:rPr>
              <w:rFonts w:hint="default"/>
              <w:lang w:val="en-US" w:eastAsia="zh-CN"/>
            </w:rPr>
            <w:t>2. 演练依据</w:t>
          </w:r>
          <w:r>
            <w:tab/>
          </w:r>
          <w:r>
            <w:fldChar w:fldCharType="begin"/>
          </w:r>
          <w:r>
            <w:instrText xml:space="preserve"> PAGEREF _Toc21513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_Toc1616 </w:instrText>
          </w:r>
          <w:r>
            <w:rPr>
              <w:rFonts w:ascii="宋体" w:eastAsia="宋体" w:hAnsi="宋体" w:cs="宋体" w:hint="eastAsia"/>
              <w:szCs w:val="24"/>
            </w:rPr>
            <w:fldChar w:fldCharType="separate"/>
          </w:r>
          <w:r>
            <w:rPr>
              <w:rFonts w:hint="default"/>
              <w:lang w:val="en-US" w:eastAsia="zh-CN"/>
            </w:rPr>
            <w:t>3. 演练场景设计</w:t>
          </w:r>
          <w:r>
            <w:tab/>
          </w:r>
          <w:r>
            <w:fldChar w:fldCharType="begin"/>
          </w:r>
          <w:r>
            <w:instrText xml:space="preserve"> PAGEREF _Toc1616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_Toc2710 </w:instrText>
          </w:r>
          <w:r>
            <w:rPr>
              <w:rFonts w:ascii="宋体" w:eastAsia="宋体" w:hAnsi="宋体" w:cs="宋体" w:hint="eastAsia"/>
              <w:szCs w:val="24"/>
            </w:rPr>
            <w:fldChar w:fldCharType="separate"/>
          </w:r>
          <w:r>
            <w:rPr>
              <w:rFonts w:hint="default"/>
              <w:lang w:val="en-US" w:eastAsia="zh-CN"/>
            </w:rPr>
            <w:t>3.1. 场景一：核心数据库服务崩溃（Ⅱ级）</w:t>
          </w:r>
          <w:r>
            <w:tab/>
          </w:r>
          <w:r>
            <w:fldChar w:fldCharType="begin"/>
          </w:r>
          <w:r>
            <w:instrText xml:space="preserve"> PAGEREF _Toc2710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_Toc32675 </w:instrText>
          </w:r>
          <w:r>
            <w:rPr>
              <w:rFonts w:ascii="宋体" w:eastAsia="宋体" w:hAnsi="宋体" w:cs="宋体" w:hint="eastAsia"/>
              <w:szCs w:val="24"/>
            </w:rPr>
            <w:fldChar w:fldCharType="separate"/>
          </w:r>
          <w:r>
            <w:rPr>
              <w:rFonts w:hint="default"/>
              <w:lang w:val="en-US" w:eastAsia="zh-CN"/>
            </w:rPr>
            <w:t>3.2. 场景二：勒索病毒攻击（Ⅰ级）</w:t>
          </w:r>
          <w:r>
            <w:tab/>
          </w:r>
          <w:r>
            <w:fldChar w:fldCharType="begin"/>
          </w:r>
          <w:r>
            <w:instrText xml:space="preserve"> PAGEREF _Toc32675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_Toc24911 </w:instrText>
          </w:r>
          <w:r>
            <w:rPr>
              <w:rFonts w:ascii="宋体" w:eastAsia="宋体" w:hAnsi="宋体" w:cs="宋体" w:hint="eastAsia"/>
              <w:szCs w:val="24"/>
            </w:rPr>
            <w:fldChar w:fldCharType="separate"/>
          </w:r>
          <w:r>
            <w:rPr>
              <w:rFonts w:hint="default"/>
              <w:lang w:val="en-US" w:eastAsia="zh-CN"/>
            </w:rPr>
            <w:t>3.3. 场景三：网络设备故障导致系统访问中断（Ⅱ级）</w:t>
          </w:r>
          <w:r>
            <w:tab/>
          </w:r>
          <w:r>
            <w:fldChar w:fldCharType="begin"/>
          </w:r>
          <w:r>
            <w:instrText xml:space="preserve"> PAGEREF _Toc24911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_Toc26243 </w:instrText>
          </w:r>
          <w:r>
            <w:rPr>
              <w:rFonts w:ascii="宋体" w:eastAsia="宋体" w:hAnsi="宋体" w:cs="宋体" w:hint="eastAsia"/>
              <w:szCs w:val="24"/>
            </w:rPr>
            <w:fldChar w:fldCharType="separate"/>
          </w:r>
          <w:r>
            <w:rPr>
              <w:rFonts w:hint="default"/>
              <w:lang w:val="en-US" w:eastAsia="zh-CN"/>
            </w:rPr>
            <w:t>4. 演练组织架构</w:t>
          </w:r>
          <w:r>
            <w:tab/>
          </w:r>
          <w:r>
            <w:fldChar w:fldCharType="begin"/>
          </w:r>
          <w:r>
            <w:instrText xml:space="preserve"> PAGEREF _Toc26243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_Toc21045 </w:instrText>
          </w:r>
          <w:r>
            <w:rPr>
              <w:rFonts w:ascii="宋体" w:eastAsia="宋体" w:hAnsi="宋体" w:cs="宋体" w:hint="eastAsia"/>
              <w:szCs w:val="24"/>
            </w:rPr>
            <w:fldChar w:fldCharType="separate"/>
          </w:r>
          <w:r>
            <w:rPr>
              <w:rFonts w:hint="default"/>
              <w:lang w:val="en-US" w:eastAsia="zh-CN"/>
            </w:rPr>
            <w:t>5. 演练流程</w:t>
          </w:r>
          <w:r>
            <w:tab/>
          </w:r>
          <w:r>
            <w:fldChar w:fldCharType="begin"/>
          </w:r>
          <w:r>
            <w:instrText xml:space="preserve"> PAGEREF _Toc21045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_Toc28513 </w:instrText>
          </w:r>
          <w:r>
            <w:rPr>
              <w:rFonts w:ascii="宋体" w:eastAsia="宋体" w:hAnsi="宋体" w:cs="宋体" w:hint="eastAsia"/>
              <w:szCs w:val="24"/>
            </w:rPr>
            <w:fldChar w:fldCharType="separate"/>
          </w:r>
          <w:r>
            <w:rPr>
              <w:rFonts w:hint="default"/>
              <w:lang w:val="en-US" w:eastAsia="zh-CN"/>
            </w:rPr>
            <w:t>6. 演练评估指标</w:t>
          </w:r>
          <w:r>
            <w:tab/>
          </w:r>
          <w:r>
            <w:fldChar w:fldCharType="begin"/>
          </w:r>
          <w:r>
            <w:instrText xml:space="preserve"> PAGEREF _Toc28513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_Toc16515 </w:instrText>
          </w:r>
          <w:r>
            <w:rPr>
              <w:rFonts w:ascii="宋体" w:eastAsia="宋体" w:hAnsi="宋体" w:cs="宋体" w:hint="eastAsia"/>
              <w:szCs w:val="24"/>
            </w:rPr>
            <w:fldChar w:fldCharType="separate"/>
          </w:r>
          <w:r>
            <w:rPr>
              <w:rFonts w:hint="default"/>
              <w:lang w:val="en-US" w:eastAsia="zh-CN"/>
            </w:rPr>
            <w:t>7. 演练物资准备</w:t>
          </w:r>
          <w:r>
            <w:tab/>
          </w:r>
          <w:r>
            <w:fldChar w:fldCharType="begin"/>
          </w:r>
          <w:r>
            <w:instrText xml:space="preserve"> PAGEREF _Toc16515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_Toc14045 </w:instrText>
          </w:r>
          <w:r>
            <w:rPr>
              <w:rFonts w:ascii="宋体" w:eastAsia="宋体" w:hAnsi="宋体" w:cs="宋体" w:hint="eastAsia"/>
              <w:szCs w:val="24"/>
            </w:rPr>
            <w:fldChar w:fldCharType="separate"/>
          </w:r>
          <w:r>
            <w:rPr>
              <w:rFonts w:hint="default"/>
              <w:lang w:val="en-US" w:eastAsia="zh-CN"/>
            </w:rPr>
            <w:t>8. 演练总结与改进</w:t>
          </w:r>
          <w:r>
            <w:tab/>
          </w:r>
          <w:r>
            <w:fldChar w:fldCharType="begin"/>
          </w:r>
          <w:r>
            <w:instrText xml:space="preserve"> PAGEREF _Toc14045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_Toc11133 </w:instrText>
          </w:r>
          <w:r>
            <w:rPr>
              <w:rFonts w:ascii="宋体" w:eastAsia="宋体" w:hAnsi="宋体" w:cs="宋体" w:hint="eastAsia"/>
              <w:szCs w:val="24"/>
            </w:rPr>
            <w:fldChar w:fldCharType="separate"/>
          </w:r>
          <w:r>
            <w:rPr>
              <w:rFonts w:hint="default"/>
              <w:lang w:val="en-US" w:eastAsia="zh-CN"/>
            </w:rPr>
            <w:t>9. 附件</w:t>
          </w:r>
          <w:r>
            <w:tab/>
          </w:r>
          <w:r>
            <w:fldChar w:fldCharType="begin"/>
          </w:r>
          <w:r>
            <w:instrText xml:space="preserve"> PAGEREF _Toc11133 \h </w:instrText>
          </w:r>
          <w:r>
            <w:fldChar w:fldCharType="separate"/>
          </w:r>
          <w:r>
            <w:t>7</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bidi w:val="0"/>
        <w:rPr>
          <w:rFonts w:hint="default"/>
          <w:lang w:val="en-US" w:eastAsia="zh-CN"/>
        </w:rPr>
      </w:pPr>
      <w:bookmarkStart w:id="2" w:name="_Toc2484"/>
      <w:r>
        <w:rPr>
          <w:rFonts w:hint="default"/>
          <w:lang w:val="en-US" w:eastAsia="zh-CN"/>
        </w:rPr>
        <w:t>演练目的</w:t>
      </w:r>
      <w:bookmarkEnd w:id="2"/>
    </w:p>
    <w:p>
      <w:pPr>
        <w:pStyle w:val="a1"/>
        <w:bidi w:val="0"/>
        <w:rPr>
          <w:rFonts w:hint="default"/>
          <w:lang w:val="en-US" w:eastAsia="zh-CN"/>
        </w:rPr>
      </w:pPr>
      <w:r>
        <w:rPr>
          <w:rFonts w:hint="default"/>
          <w:lang w:val="en-US" w:eastAsia="zh-CN"/>
        </w:rPr>
        <w:t>验证应急预案可行性：检验《运维服务应急预案》（TYSW-10-03）的完整性、可操作性和有效性，确保预案内容与实际运维场景匹配。</w:t>
      </w:r>
    </w:p>
    <w:p>
      <w:pPr>
        <w:pStyle w:val="a1"/>
        <w:bidi w:val="0"/>
        <w:rPr>
          <w:rFonts w:hint="default"/>
          <w:lang w:val="en-US" w:eastAsia="zh-CN"/>
        </w:rPr>
      </w:pPr>
      <w:r>
        <w:rPr>
          <w:rFonts w:hint="default"/>
          <w:lang w:val="en-US" w:eastAsia="zh-CN"/>
        </w:rPr>
        <w:t>检验应急响应能力：评估应急组织架构各小组（技术保障组、现场抢险组、信息联络组、后勤支持组）在突发故障时的协同响应能力。</w:t>
      </w:r>
    </w:p>
    <w:p>
      <w:pPr>
        <w:pStyle w:val="a1"/>
        <w:bidi w:val="0"/>
        <w:rPr>
          <w:rFonts w:hint="default"/>
          <w:lang w:val="en-US" w:eastAsia="zh-CN"/>
        </w:rPr>
      </w:pPr>
      <w:r>
        <w:rPr>
          <w:rFonts w:hint="default"/>
          <w:lang w:val="en-US" w:eastAsia="zh-CN"/>
        </w:rPr>
        <w:t>提升实战处置技能：针对医疗生物系统典型故障场景（数据库故障、网络中断、安全攻击），锻炼运维团队的故障诊断、应急处置和系统恢复能力。</w:t>
      </w:r>
    </w:p>
    <w:p>
      <w:pPr>
        <w:pStyle w:val="a1"/>
        <w:bidi w:val="0"/>
        <w:rPr>
          <w:rFonts w:hint="default"/>
          <w:lang w:val="en-US" w:eastAsia="zh-CN"/>
        </w:rPr>
      </w:pPr>
      <w:r>
        <w:rPr>
          <w:rFonts w:hint="default"/>
          <w:lang w:val="en-US" w:eastAsia="zh-CN"/>
        </w:rPr>
        <w:t>发现薄弱环节：通过演练暴露应急预案及应急准备中的不足，为后续优化提供依据。</w:t>
      </w:r>
    </w:p>
    <w:p>
      <w:pPr>
        <w:pStyle w:val="1"/>
        <w:bidi w:val="0"/>
        <w:rPr>
          <w:rFonts w:hint="default"/>
          <w:lang w:val="en-US" w:eastAsia="zh-CN"/>
        </w:rPr>
      </w:pPr>
      <w:bookmarkStart w:id="3" w:name="_Toc21513"/>
      <w:r>
        <w:rPr>
          <w:rFonts w:hint="default"/>
          <w:lang w:val="en-US" w:eastAsia="zh-CN"/>
        </w:rPr>
        <w:t>演练依据</w:t>
      </w:r>
      <w:bookmarkEnd w:id="3"/>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2940"/>
        <w:gridCol w:w="1716"/>
        <w:gridCol w:w="3839"/>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依据文件</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编号</w:t>
            </w:r>
          </w:p>
        </w:tc>
        <w:tc>
          <w:tcPr>
            <w:tcW w:w="3839"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说明</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《运维服务应急预案》</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TYSW-10-03</w:t>
            </w:r>
          </w:p>
        </w:tc>
        <w:tc>
          <w:tcPr>
            <w:tcW w:w="38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应急响应流程、故障分级、处置规范</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《运维服务交付方案》</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TYSW-09-02</w:t>
            </w:r>
          </w:p>
        </w:tc>
        <w:tc>
          <w:tcPr>
            <w:tcW w:w="38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SLA标准、服务范围、故障分级</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《软件采购合同》</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w:t>
            </w:r>
          </w:p>
        </w:tc>
        <w:tc>
          <w:tcPr>
            <w:tcW w:w="38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运维服务条款、响应时限要求</w:t>
            </w:r>
          </w:p>
        </w:tc>
      </w:tr>
      <w:tr>
        <w:tblPrEx>
          <w:tblW w:w="8495" w:type="dxa"/>
          <w:jc w:val="center"/>
          <w:shd w:val="clear" w:color="auto" w:fill="auto"/>
          <w:tblCellMar>
            <w:top w:w="15" w:type="dxa"/>
            <w:left w:w="15" w:type="dxa"/>
            <w:bottom w:w="15" w:type="dxa"/>
            <w:right w:w="15" w:type="dxa"/>
          </w:tblCellMar>
        </w:tblPrEx>
        <w:trPr>
          <w:trHeight w:val="0"/>
          <w:jc w:val="center"/>
        </w:trPr>
        <w:tc>
          <w:tcPr>
            <w:tcW w:w="2940"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公司《运维应急管理制度》</w:t>
            </w:r>
          </w:p>
        </w:tc>
        <w:tc>
          <w:tcPr>
            <w:tcW w:w="1716"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TYSW-10-01</w:t>
            </w:r>
          </w:p>
        </w:tc>
        <w:tc>
          <w:tcPr>
            <w:tcW w:w="3839"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应急管理总体要求</w:t>
            </w:r>
          </w:p>
        </w:tc>
      </w:tr>
    </w:tbl>
    <w:p>
      <w:pPr>
        <w:pStyle w:val="1"/>
        <w:bidi w:val="0"/>
        <w:rPr>
          <w:rFonts w:hint="default"/>
          <w:lang w:val="en-US" w:eastAsia="zh-CN"/>
        </w:rPr>
      </w:pPr>
      <w:bookmarkStart w:id="4" w:name="_Toc1616"/>
      <w:r>
        <w:rPr>
          <w:rFonts w:hint="default"/>
          <w:lang w:val="en-US" w:eastAsia="zh-CN"/>
        </w:rPr>
        <w:t>演练场景设计</w:t>
      </w:r>
      <w:bookmarkEnd w:id="4"/>
    </w:p>
    <w:p>
      <w:pPr>
        <w:pStyle w:val="a1"/>
        <w:numPr>
          <w:ilvl w:val="0"/>
          <w:numId w:val="0"/>
        </w:numPr>
        <w:bidi w:val="0"/>
        <w:ind w:left="420" w:leftChars="200"/>
        <w:rPr>
          <w:rFonts w:hint="default"/>
          <w:lang w:val="en-US" w:eastAsia="zh-CN"/>
        </w:rPr>
      </w:pPr>
      <w:r>
        <w:rPr>
          <w:rFonts w:hint="default"/>
          <w:lang w:val="en-US" w:eastAsia="zh-CN"/>
        </w:rPr>
        <w:t>根据项目实际运维内容，设置以下三个典型应急场景：</w:t>
      </w:r>
    </w:p>
    <w:p>
      <w:pPr>
        <w:pStyle w:val="2"/>
        <w:bidi w:val="0"/>
        <w:rPr>
          <w:rFonts w:hint="default"/>
          <w:lang w:val="en-US" w:eastAsia="zh-CN"/>
        </w:rPr>
      </w:pPr>
      <w:bookmarkStart w:id="5" w:name="_Toc2710"/>
      <w:r>
        <w:rPr>
          <w:rFonts w:hint="default"/>
          <w:lang w:val="en-US" w:eastAsia="zh-CN"/>
        </w:rPr>
        <w:t>场景一：核心数据库服务崩溃（Ⅱ级）</w:t>
      </w:r>
      <w:bookmarkEnd w:id="5"/>
    </w:p>
    <w:p>
      <w:pPr>
        <w:pStyle w:val="a1"/>
        <w:numPr>
          <w:ilvl w:val="0"/>
          <w:numId w:val="0"/>
        </w:numPr>
        <w:bidi w:val="0"/>
        <w:ind w:left="420" w:leftChars="200"/>
        <w:rPr>
          <w:rFonts w:hint="default"/>
          <w:lang w:val="en-US" w:eastAsia="zh-CN"/>
        </w:rPr>
      </w:pPr>
      <w:r>
        <w:rPr>
          <w:rFonts w:hint="default"/>
          <w:lang w:val="en-US" w:eastAsia="zh-CN"/>
        </w:rPr>
        <w:t>故障描述：</w:t>
      </w:r>
    </w:p>
    <w:p>
      <w:pPr>
        <w:pStyle w:val="a1"/>
        <w:numPr>
          <w:ilvl w:val="0"/>
          <w:numId w:val="0"/>
        </w:numPr>
        <w:bidi w:val="0"/>
        <w:ind w:left="420" w:leftChars="200"/>
        <w:rPr>
          <w:rFonts w:hint="default"/>
          <w:lang w:val="en-US" w:eastAsia="zh-CN"/>
        </w:rPr>
      </w:pPr>
      <w:r>
        <w:rPr>
          <w:rFonts w:hint="default"/>
          <w:lang w:val="en-US" w:eastAsia="zh-CN"/>
        </w:rPr>
        <w:t>生物工程技术研发试验分析系统的MySQL数据库服务突然停止，导致所有研发人员无法登录系统、无法查询实验数据。</w:t>
      </w:r>
    </w:p>
    <w:p>
      <w:pPr>
        <w:pStyle w:val="a1"/>
        <w:numPr>
          <w:ilvl w:val="0"/>
          <w:numId w:val="0"/>
        </w:numPr>
        <w:bidi w:val="0"/>
        <w:ind w:left="420" w:leftChars="200"/>
        <w:rPr>
          <w:rFonts w:hint="default"/>
          <w:lang w:val="en-US" w:eastAsia="zh-CN"/>
        </w:rPr>
      </w:pPr>
      <w:r>
        <w:rPr>
          <w:rFonts w:hint="default"/>
          <w:lang w:val="en-US" w:eastAsia="zh-CN"/>
        </w:rPr>
        <w:t>该故障直接影响客户核心研发业务，符合合同约定的“系统不可用”情形。</w:t>
      </w:r>
    </w:p>
    <w:p>
      <w:pPr>
        <w:pStyle w:val="a1"/>
        <w:numPr>
          <w:ilvl w:val="0"/>
          <w:numId w:val="0"/>
        </w:numPr>
        <w:bidi w:val="0"/>
        <w:ind w:left="420" w:leftChars="200"/>
        <w:rPr>
          <w:rFonts w:hint="default"/>
          <w:lang w:val="en-US" w:eastAsia="zh-CN"/>
        </w:rPr>
      </w:pPr>
      <w:r>
        <w:rPr>
          <w:rFonts w:hint="default"/>
          <w:lang w:val="en-US" w:eastAsia="zh-CN"/>
        </w:rPr>
        <w:t>演练目标：</w:t>
      </w:r>
    </w:p>
    <w:p>
      <w:pPr>
        <w:pStyle w:val="a1"/>
        <w:numPr>
          <w:ilvl w:val="0"/>
          <w:numId w:val="0"/>
        </w:numPr>
        <w:bidi w:val="0"/>
        <w:ind w:left="420" w:leftChars="200"/>
        <w:rPr>
          <w:rFonts w:hint="default"/>
          <w:lang w:val="en-US" w:eastAsia="zh-CN"/>
        </w:rPr>
      </w:pPr>
      <w:r>
        <w:rPr>
          <w:rFonts w:hint="default"/>
          <w:lang w:val="en-US" w:eastAsia="zh-CN"/>
        </w:rPr>
        <w:t>检验故障上报流程的及时性（≤5分钟）</w:t>
      </w:r>
    </w:p>
    <w:p>
      <w:pPr>
        <w:pStyle w:val="a1"/>
        <w:numPr>
          <w:ilvl w:val="0"/>
          <w:numId w:val="0"/>
        </w:numPr>
        <w:bidi w:val="0"/>
        <w:ind w:left="420" w:leftChars="200"/>
        <w:rPr>
          <w:rFonts w:hint="default"/>
          <w:lang w:val="en-US" w:eastAsia="zh-CN"/>
        </w:rPr>
      </w:pPr>
      <w:r>
        <w:rPr>
          <w:rFonts w:hint="default"/>
          <w:lang w:val="en-US" w:eastAsia="zh-CN"/>
        </w:rPr>
        <w:t>检验应急启动的规范性</w:t>
      </w:r>
    </w:p>
    <w:p>
      <w:pPr>
        <w:pStyle w:val="a1"/>
        <w:numPr>
          <w:ilvl w:val="0"/>
          <w:numId w:val="0"/>
        </w:numPr>
        <w:bidi w:val="0"/>
        <w:ind w:left="420" w:leftChars="200"/>
        <w:rPr>
          <w:rFonts w:hint="default"/>
          <w:lang w:val="en-US" w:eastAsia="zh-CN"/>
        </w:rPr>
      </w:pPr>
      <w:r>
        <w:rPr>
          <w:rFonts w:hint="default"/>
          <w:lang w:val="en-US" w:eastAsia="zh-CN"/>
        </w:rPr>
        <w:t>检验备份恢复机制的有效性（RTO≤4小时，RPO≤1小时）</w:t>
      </w:r>
    </w:p>
    <w:p>
      <w:pPr>
        <w:pStyle w:val="a1"/>
        <w:numPr>
          <w:ilvl w:val="0"/>
          <w:numId w:val="0"/>
        </w:numPr>
        <w:bidi w:val="0"/>
        <w:ind w:left="420" w:leftChars="200"/>
        <w:rPr>
          <w:rFonts w:hint="default"/>
          <w:lang w:val="en-US" w:eastAsia="zh-CN"/>
        </w:rPr>
      </w:pPr>
      <w:r>
        <w:rPr>
          <w:rFonts w:hint="default"/>
          <w:lang w:val="en-US" w:eastAsia="zh-CN"/>
        </w:rPr>
        <w:t>检验技术保障组的数据库恢复能力</w:t>
      </w:r>
    </w:p>
    <w:p>
      <w:pPr>
        <w:pStyle w:val="a1"/>
        <w:numPr>
          <w:ilvl w:val="0"/>
          <w:numId w:val="0"/>
        </w:numPr>
        <w:bidi w:val="0"/>
        <w:ind w:left="420" w:leftChars="200"/>
        <w:rPr>
          <w:rFonts w:hint="default"/>
          <w:lang w:val="en-US" w:eastAsia="zh-CN"/>
        </w:rPr>
      </w:pPr>
      <w:r>
        <w:rPr>
          <w:rFonts w:hint="default"/>
          <w:lang w:val="en-US" w:eastAsia="zh-CN"/>
        </w:rPr>
        <w:t>涉及服务内容：</w:t>
      </w:r>
    </w:p>
    <w:p>
      <w:pPr>
        <w:pStyle w:val="a1"/>
        <w:numPr>
          <w:ilvl w:val="0"/>
          <w:numId w:val="0"/>
        </w:numPr>
        <w:bidi w:val="0"/>
        <w:ind w:left="420" w:leftChars="200"/>
        <w:rPr>
          <w:rFonts w:hint="default"/>
          <w:lang w:val="en-US" w:eastAsia="zh-CN"/>
        </w:rPr>
      </w:pPr>
      <w:r>
        <w:rPr>
          <w:rFonts w:hint="default"/>
          <w:lang w:val="en-US" w:eastAsia="zh-CN"/>
        </w:rPr>
        <w:t>软件系统运维（故障处理、数据备份与恢复）</w:t>
      </w:r>
    </w:p>
    <w:p>
      <w:pPr>
        <w:pStyle w:val="a1"/>
        <w:numPr>
          <w:ilvl w:val="0"/>
          <w:numId w:val="0"/>
        </w:numPr>
        <w:bidi w:val="0"/>
        <w:ind w:left="420" w:leftChars="200"/>
        <w:rPr>
          <w:rFonts w:hint="default"/>
          <w:lang w:val="en-US" w:eastAsia="zh-CN"/>
        </w:rPr>
      </w:pPr>
      <w:r>
        <w:rPr>
          <w:rFonts w:hint="default"/>
          <w:lang w:val="en-US" w:eastAsia="zh-CN"/>
        </w:rPr>
        <w:t>应急响应（P1级故障处置）</w:t>
      </w:r>
    </w:p>
    <w:p>
      <w:pPr>
        <w:pStyle w:val="2"/>
        <w:bidi w:val="0"/>
        <w:rPr>
          <w:rFonts w:hint="default"/>
          <w:lang w:val="en-US" w:eastAsia="zh-CN"/>
        </w:rPr>
      </w:pPr>
      <w:bookmarkStart w:id="6" w:name="_Toc32675"/>
      <w:r>
        <w:rPr>
          <w:rFonts w:hint="default"/>
          <w:lang w:val="en-US" w:eastAsia="zh-CN"/>
        </w:rPr>
        <w:t>场景二：勒索病毒攻击（Ⅰ级）</w:t>
      </w:r>
      <w:bookmarkEnd w:id="6"/>
    </w:p>
    <w:p>
      <w:pPr>
        <w:pStyle w:val="a1"/>
        <w:numPr>
          <w:ilvl w:val="0"/>
          <w:numId w:val="0"/>
        </w:numPr>
        <w:bidi w:val="0"/>
        <w:ind w:left="420" w:leftChars="200"/>
        <w:rPr>
          <w:rFonts w:hint="default"/>
          <w:lang w:val="en-US" w:eastAsia="zh-CN"/>
        </w:rPr>
      </w:pPr>
      <w:r>
        <w:rPr>
          <w:rFonts w:hint="default"/>
          <w:lang w:val="en-US" w:eastAsia="zh-CN"/>
        </w:rPr>
        <w:t>故障描述：</w:t>
      </w:r>
    </w:p>
    <w:p>
      <w:pPr>
        <w:pStyle w:val="a1"/>
        <w:numPr>
          <w:ilvl w:val="0"/>
          <w:numId w:val="0"/>
        </w:numPr>
        <w:bidi w:val="0"/>
        <w:ind w:left="420" w:leftChars="200"/>
        <w:rPr>
          <w:rFonts w:hint="default"/>
          <w:lang w:val="en-US" w:eastAsia="zh-CN"/>
        </w:rPr>
      </w:pPr>
      <w:r>
        <w:rPr>
          <w:rFonts w:hint="default"/>
          <w:lang w:val="en-US" w:eastAsia="zh-CN"/>
        </w:rPr>
        <w:t>研发中心一台终端感染勒索病毒，文件被加密并出现勒索信息，病毒尝试横向扩散至核心服务器。</w:t>
      </w:r>
    </w:p>
    <w:p>
      <w:pPr>
        <w:pStyle w:val="a1"/>
        <w:numPr>
          <w:ilvl w:val="0"/>
          <w:numId w:val="0"/>
        </w:numPr>
        <w:bidi w:val="0"/>
        <w:ind w:left="420" w:leftChars="200"/>
        <w:rPr>
          <w:rFonts w:hint="default"/>
          <w:lang w:val="en-US" w:eastAsia="zh-CN"/>
        </w:rPr>
      </w:pPr>
      <w:r>
        <w:rPr>
          <w:rFonts w:hint="default"/>
          <w:lang w:val="en-US" w:eastAsia="zh-CN"/>
        </w:rPr>
        <w:t>该故障涉及数据安全，符合合同约定的“信息安全事件”范畴。</w:t>
      </w:r>
    </w:p>
    <w:p>
      <w:pPr>
        <w:pStyle w:val="a1"/>
        <w:numPr>
          <w:ilvl w:val="0"/>
          <w:numId w:val="0"/>
        </w:numPr>
        <w:bidi w:val="0"/>
        <w:ind w:left="420" w:leftChars="200"/>
        <w:rPr>
          <w:rFonts w:hint="default"/>
          <w:lang w:val="en-US" w:eastAsia="zh-CN"/>
        </w:rPr>
      </w:pPr>
      <w:r>
        <w:rPr>
          <w:rFonts w:hint="default"/>
          <w:lang w:val="en-US" w:eastAsia="zh-CN"/>
        </w:rPr>
        <w:t>演练目标：</w:t>
      </w:r>
    </w:p>
    <w:p>
      <w:pPr>
        <w:pStyle w:val="a1"/>
        <w:numPr>
          <w:ilvl w:val="0"/>
          <w:numId w:val="0"/>
        </w:numPr>
        <w:bidi w:val="0"/>
        <w:ind w:left="420" w:leftChars="200"/>
        <w:rPr>
          <w:rFonts w:hint="default"/>
          <w:lang w:val="en-US" w:eastAsia="zh-CN"/>
        </w:rPr>
      </w:pPr>
      <w:r>
        <w:rPr>
          <w:rFonts w:hint="default"/>
          <w:lang w:val="en-US" w:eastAsia="zh-CN"/>
        </w:rPr>
        <w:t>检验现场人员的立即断网隔离操作能力</w:t>
      </w:r>
    </w:p>
    <w:p>
      <w:pPr>
        <w:pStyle w:val="a1"/>
        <w:numPr>
          <w:ilvl w:val="0"/>
          <w:numId w:val="0"/>
        </w:numPr>
        <w:bidi w:val="0"/>
        <w:ind w:left="420" w:leftChars="200"/>
        <w:rPr>
          <w:rFonts w:hint="default"/>
          <w:lang w:val="en-US" w:eastAsia="zh-CN"/>
        </w:rPr>
      </w:pPr>
      <w:r>
        <w:rPr>
          <w:rFonts w:hint="default"/>
          <w:lang w:val="en-US" w:eastAsia="zh-CN"/>
        </w:rPr>
        <w:t>检验安全事件上报流程（5分钟内上报）</w:t>
      </w:r>
    </w:p>
    <w:p>
      <w:pPr>
        <w:pStyle w:val="a1"/>
        <w:numPr>
          <w:ilvl w:val="0"/>
          <w:numId w:val="0"/>
        </w:numPr>
        <w:bidi w:val="0"/>
        <w:ind w:left="420" w:leftChars="200"/>
        <w:rPr>
          <w:rFonts w:hint="default"/>
          <w:lang w:val="en-US" w:eastAsia="zh-CN"/>
        </w:rPr>
      </w:pPr>
      <w:r>
        <w:rPr>
          <w:rFonts w:hint="default"/>
          <w:lang w:val="en-US" w:eastAsia="zh-CN"/>
        </w:rPr>
        <w:t>检验从备份恢复被加密数据的能力</w:t>
      </w:r>
    </w:p>
    <w:p>
      <w:pPr>
        <w:pStyle w:val="a1"/>
        <w:numPr>
          <w:ilvl w:val="0"/>
          <w:numId w:val="0"/>
        </w:numPr>
        <w:bidi w:val="0"/>
        <w:ind w:left="420" w:leftChars="200"/>
        <w:rPr>
          <w:rFonts w:hint="default"/>
          <w:lang w:val="en-US" w:eastAsia="zh-CN"/>
        </w:rPr>
      </w:pPr>
      <w:r>
        <w:rPr>
          <w:rFonts w:hint="default"/>
          <w:lang w:val="en-US" w:eastAsia="zh-CN"/>
        </w:rPr>
        <w:t>检验后续漏洞修复、安全加固流程</w:t>
      </w:r>
    </w:p>
    <w:p>
      <w:pPr>
        <w:pStyle w:val="a1"/>
        <w:numPr>
          <w:ilvl w:val="0"/>
          <w:numId w:val="0"/>
        </w:numPr>
        <w:bidi w:val="0"/>
        <w:ind w:left="420" w:leftChars="200"/>
        <w:rPr>
          <w:rFonts w:hint="default"/>
          <w:lang w:val="en-US" w:eastAsia="zh-CN"/>
        </w:rPr>
      </w:pPr>
      <w:r>
        <w:rPr>
          <w:rFonts w:hint="default"/>
          <w:lang w:val="en-US" w:eastAsia="zh-CN"/>
        </w:rPr>
        <w:t>涉及服务内容：</w:t>
      </w:r>
    </w:p>
    <w:p>
      <w:pPr>
        <w:pStyle w:val="a1"/>
        <w:numPr>
          <w:ilvl w:val="0"/>
          <w:numId w:val="0"/>
        </w:numPr>
        <w:bidi w:val="0"/>
        <w:ind w:left="420" w:leftChars="200"/>
        <w:rPr>
          <w:rFonts w:hint="default"/>
          <w:lang w:val="en-US" w:eastAsia="zh-CN"/>
        </w:rPr>
      </w:pPr>
      <w:r>
        <w:rPr>
          <w:rFonts w:hint="default"/>
          <w:lang w:val="en-US" w:eastAsia="zh-CN"/>
        </w:rPr>
        <w:t>应急响应（P1级故障处置）</w:t>
      </w:r>
    </w:p>
    <w:p>
      <w:pPr>
        <w:pStyle w:val="a1"/>
        <w:numPr>
          <w:ilvl w:val="0"/>
          <w:numId w:val="0"/>
        </w:numPr>
        <w:bidi w:val="0"/>
        <w:ind w:left="420" w:leftChars="200"/>
        <w:rPr>
          <w:rFonts w:hint="default"/>
          <w:lang w:val="en-US" w:eastAsia="zh-CN"/>
        </w:rPr>
      </w:pPr>
      <w:r>
        <w:rPr>
          <w:rFonts w:hint="default"/>
          <w:lang w:val="en-US" w:eastAsia="zh-CN"/>
        </w:rPr>
        <w:t>数据备份与恢复</w:t>
      </w:r>
    </w:p>
    <w:p>
      <w:pPr>
        <w:pStyle w:val="a1"/>
        <w:numPr>
          <w:ilvl w:val="0"/>
          <w:numId w:val="0"/>
        </w:numPr>
        <w:bidi w:val="0"/>
        <w:ind w:left="420" w:leftChars="200"/>
        <w:rPr>
          <w:rFonts w:hint="default"/>
          <w:lang w:val="en-US" w:eastAsia="zh-CN"/>
        </w:rPr>
      </w:pPr>
      <w:r>
        <w:rPr>
          <w:rFonts w:hint="default"/>
          <w:lang w:val="en-US" w:eastAsia="zh-CN"/>
        </w:rPr>
        <w:t>信息安全事件处置</w:t>
      </w:r>
    </w:p>
    <w:p>
      <w:pPr>
        <w:pStyle w:val="2"/>
        <w:bidi w:val="0"/>
        <w:rPr>
          <w:rFonts w:hint="default"/>
          <w:lang w:val="en-US" w:eastAsia="zh-CN"/>
        </w:rPr>
      </w:pPr>
      <w:bookmarkStart w:id="7" w:name="_Toc24911"/>
      <w:r>
        <w:rPr>
          <w:rFonts w:hint="default"/>
          <w:lang w:val="en-US" w:eastAsia="zh-CN"/>
        </w:rPr>
        <w:t>场景三：网络设备故障导致系统访问中断（Ⅱ级）</w:t>
      </w:r>
      <w:bookmarkEnd w:id="7"/>
    </w:p>
    <w:p>
      <w:pPr>
        <w:pStyle w:val="a1"/>
        <w:numPr>
          <w:ilvl w:val="0"/>
          <w:numId w:val="0"/>
        </w:numPr>
        <w:bidi w:val="0"/>
        <w:ind w:left="420" w:leftChars="200"/>
        <w:rPr>
          <w:rFonts w:hint="default"/>
          <w:lang w:val="en-US" w:eastAsia="zh-CN"/>
        </w:rPr>
      </w:pPr>
      <w:r>
        <w:rPr>
          <w:rFonts w:hint="default"/>
          <w:lang w:val="en-US" w:eastAsia="zh-CN"/>
        </w:rPr>
        <w:t>故障描述：</w:t>
      </w:r>
    </w:p>
    <w:p>
      <w:pPr>
        <w:pStyle w:val="a1"/>
        <w:numPr>
          <w:ilvl w:val="0"/>
          <w:numId w:val="0"/>
        </w:numPr>
        <w:bidi w:val="0"/>
        <w:ind w:left="420" w:leftChars="200"/>
        <w:rPr>
          <w:rFonts w:hint="default"/>
          <w:lang w:val="en-US" w:eastAsia="zh-CN"/>
        </w:rPr>
      </w:pPr>
      <w:r>
        <w:rPr>
          <w:rFonts w:hint="default"/>
          <w:lang w:val="en-US" w:eastAsia="zh-CN"/>
        </w:rPr>
        <w:t>核心交换机端口故障，导致研发中心无法访问系统。</w:t>
      </w:r>
    </w:p>
    <w:p>
      <w:pPr>
        <w:pStyle w:val="a1"/>
        <w:numPr>
          <w:ilvl w:val="0"/>
          <w:numId w:val="0"/>
        </w:numPr>
        <w:bidi w:val="0"/>
        <w:ind w:left="420" w:leftChars="200"/>
        <w:rPr>
          <w:rFonts w:hint="default"/>
          <w:lang w:val="en-US" w:eastAsia="zh-CN"/>
        </w:rPr>
      </w:pPr>
      <w:r>
        <w:rPr>
          <w:rFonts w:hint="default"/>
          <w:lang w:val="en-US" w:eastAsia="zh-CN"/>
        </w:rPr>
        <w:t>系统本身运行正常，但网络中断导致服务不可用，属于合同约定的“硬件环境支持”范畴。</w:t>
      </w:r>
    </w:p>
    <w:p>
      <w:pPr>
        <w:pStyle w:val="a1"/>
        <w:numPr>
          <w:ilvl w:val="0"/>
          <w:numId w:val="0"/>
        </w:numPr>
        <w:bidi w:val="0"/>
        <w:ind w:left="420" w:leftChars="200"/>
        <w:rPr>
          <w:rFonts w:hint="default"/>
          <w:lang w:val="en-US" w:eastAsia="zh-CN"/>
        </w:rPr>
      </w:pPr>
      <w:r>
        <w:rPr>
          <w:rFonts w:hint="default"/>
          <w:lang w:val="en-US" w:eastAsia="zh-CN"/>
        </w:rPr>
        <w:t>演练目标：</w:t>
      </w:r>
    </w:p>
    <w:p>
      <w:pPr>
        <w:pStyle w:val="a1"/>
        <w:numPr>
          <w:ilvl w:val="0"/>
          <w:numId w:val="0"/>
        </w:numPr>
        <w:bidi w:val="0"/>
        <w:ind w:left="420" w:leftChars="200"/>
        <w:rPr>
          <w:rFonts w:hint="default"/>
          <w:lang w:val="en-US" w:eastAsia="zh-CN"/>
        </w:rPr>
      </w:pPr>
      <w:r>
        <w:rPr>
          <w:rFonts w:hint="default"/>
          <w:lang w:val="en-US" w:eastAsia="zh-CN"/>
        </w:rPr>
        <w:t>检验网络中断的快速判定能力</w:t>
      </w:r>
    </w:p>
    <w:p>
      <w:pPr>
        <w:pStyle w:val="a1"/>
        <w:numPr>
          <w:ilvl w:val="0"/>
          <w:numId w:val="0"/>
        </w:numPr>
        <w:bidi w:val="0"/>
        <w:ind w:left="420" w:leftChars="200"/>
        <w:rPr>
          <w:rFonts w:hint="default"/>
          <w:lang w:val="en-US" w:eastAsia="zh-CN"/>
        </w:rPr>
      </w:pPr>
      <w:r>
        <w:rPr>
          <w:rFonts w:hint="default"/>
          <w:lang w:val="en-US" w:eastAsia="zh-CN"/>
        </w:rPr>
        <w:t>检验备用链路/备用设备的切换能力</w:t>
      </w:r>
    </w:p>
    <w:p>
      <w:pPr>
        <w:pStyle w:val="a1"/>
        <w:numPr>
          <w:ilvl w:val="0"/>
          <w:numId w:val="0"/>
        </w:numPr>
        <w:bidi w:val="0"/>
        <w:ind w:left="420" w:leftChars="200"/>
        <w:rPr>
          <w:rFonts w:hint="default"/>
          <w:lang w:val="en-US" w:eastAsia="zh-CN"/>
        </w:rPr>
      </w:pPr>
      <w:r>
        <w:rPr>
          <w:rFonts w:hint="default"/>
          <w:lang w:val="en-US" w:eastAsia="zh-CN"/>
        </w:rPr>
        <w:t>检验网络恢复后的系统可用性测试</w:t>
      </w:r>
    </w:p>
    <w:p>
      <w:pPr>
        <w:pStyle w:val="a1"/>
        <w:numPr>
          <w:ilvl w:val="0"/>
          <w:numId w:val="0"/>
        </w:numPr>
        <w:bidi w:val="0"/>
        <w:ind w:left="420" w:leftChars="200"/>
        <w:rPr>
          <w:rFonts w:hint="default"/>
          <w:lang w:val="en-US" w:eastAsia="zh-CN"/>
        </w:rPr>
      </w:pPr>
      <w:r>
        <w:rPr>
          <w:rFonts w:hint="default"/>
          <w:lang w:val="en-US" w:eastAsia="zh-CN"/>
        </w:rPr>
        <w:t>涉及服务内容：</w:t>
      </w:r>
    </w:p>
    <w:p>
      <w:pPr>
        <w:pStyle w:val="a1"/>
        <w:numPr>
          <w:ilvl w:val="0"/>
          <w:numId w:val="0"/>
        </w:numPr>
        <w:bidi w:val="0"/>
        <w:ind w:left="420" w:leftChars="200"/>
        <w:rPr>
          <w:rFonts w:hint="default"/>
          <w:lang w:val="en-US" w:eastAsia="zh-CN"/>
        </w:rPr>
      </w:pPr>
      <w:r>
        <w:rPr>
          <w:rFonts w:hint="default"/>
          <w:lang w:val="en-US" w:eastAsia="zh-CN"/>
        </w:rPr>
        <w:t>硬件环境支持（服务器运行状态监控、故障初步诊断）</w:t>
      </w:r>
    </w:p>
    <w:p>
      <w:pPr>
        <w:pStyle w:val="a1"/>
        <w:numPr>
          <w:ilvl w:val="0"/>
          <w:numId w:val="0"/>
        </w:numPr>
        <w:bidi w:val="0"/>
        <w:ind w:left="420" w:leftChars="200"/>
        <w:rPr>
          <w:rFonts w:hint="default"/>
          <w:lang w:val="en-US" w:eastAsia="zh-CN"/>
        </w:rPr>
      </w:pPr>
      <w:r>
        <w:rPr>
          <w:rFonts w:hint="default"/>
          <w:lang w:val="en-US" w:eastAsia="zh-CN"/>
        </w:rPr>
        <w:t>应急响应</w:t>
      </w:r>
    </w:p>
    <w:p>
      <w:pPr>
        <w:pStyle w:val="1"/>
        <w:bidi w:val="0"/>
        <w:rPr>
          <w:rFonts w:hint="default"/>
          <w:lang w:val="en-US" w:eastAsia="zh-CN"/>
        </w:rPr>
      </w:pPr>
      <w:bookmarkStart w:id="8" w:name="_Toc26243"/>
      <w:r>
        <w:rPr>
          <w:rFonts w:hint="default"/>
          <w:lang w:val="en-US" w:eastAsia="zh-CN"/>
        </w:rPr>
        <w:t>演练组织架构</w:t>
      </w:r>
      <w:bookmarkEnd w:id="8"/>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409"/>
        <w:gridCol w:w="2809"/>
        <w:gridCol w:w="4277"/>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角色</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eastAsia"/>
                <w:b/>
                <w:i w:val="0"/>
                <w:iCs w:val="0"/>
                <w:caps w:val="0"/>
                <w:snapToGrid w:val="0"/>
                <w:color w:val="000000"/>
                <w:spacing w:val="0"/>
                <w:kern w:val="0"/>
                <w:sz w:val="18"/>
                <w:szCs w:val="18"/>
                <w:lang w:val="en-US" w:eastAsia="zh-CN"/>
              </w:rPr>
              <w:t>部门/</w:t>
            </w:r>
            <w:r>
              <w:rPr>
                <w:rFonts w:ascii="Segoe UI" w:eastAsia="Segoe UI" w:hAnsi="Segoe UI" w:cs="Segoe UI" w:hint="default"/>
                <w:b/>
                <w:i w:val="0"/>
                <w:iCs w:val="0"/>
                <w:caps w:val="0"/>
                <w:snapToGrid w:val="0"/>
                <w:color w:val="000000"/>
                <w:spacing w:val="0"/>
                <w:kern w:val="0"/>
                <w:sz w:val="18"/>
                <w:szCs w:val="18"/>
                <w:lang w:val="en-US" w:eastAsia="zh-CN"/>
              </w:rPr>
              <w:t>人员</w:t>
            </w:r>
          </w:p>
        </w:tc>
        <w:tc>
          <w:tcPr>
            <w:tcW w:w="4277"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职责</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总指挥</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池杜旺（运维部经理）</w:t>
            </w:r>
          </w:p>
        </w:tc>
        <w:tc>
          <w:tcPr>
            <w:tcW w:w="427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统筹演练全局，下达应急启动/终止指令</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副总指挥</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客户信息中心负责人</w:t>
            </w:r>
          </w:p>
        </w:tc>
        <w:tc>
          <w:tcPr>
            <w:tcW w:w="427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协调客户方资源，确认恢复结果</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技术保障组</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何煜成、何柱光</w:t>
            </w:r>
          </w:p>
        </w:tc>
        <w:tc>
          <w:tcPr>
            <w:tcW w:w="427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故障诊断、技术方案制定、系统恢复</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现场抢险组</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eastAsia"/>
                <w:i w:val="0"/>
                <w:iCs w:val="0"/>
                <w:caps w:val="0"/>
                <w:snapToGrid w:val="0"/>
                <w:color w:val="000000"/>
                <w:spacing w:val="0"/>
                <w:kern w:val="0"/>
                <w:sz w:val="18"/>
                <w:szCs w:val="18"/>
                <w:lang w:val="en-US" w:eastAsia="zh-CN"/>
              </w:rPr>
              <w:t>运维</w:t>
            </w:r>
            <w:r>
              <w:rPr>
                <w:rFonts w:ascii="Segoe UI" w:eastAsia="Segoe UI" w:hAnsi="Segoe UI" w:cs="Segoe UI" w:hint="default"/>
                <w:i w:val="0"/>
                <w:iCs w:val="0"/>
                <w:caps w:val="0"/>
                <w:snapToGrid w:val="0"/>
                <w:color w:val="000000"/>
                <w:spacing w:val="0"/>
                <w:kern w:val="0"/>
                <w:sz w:val="18"/>
                <w:szCs w:val="18"/>
                <w:lang w:val="en-US" w:eastAsia="zh-CN"/>
              </w:rPr>
              <w:t>工程师</w:t>
            </w:r>
          </w:p>
        </w:tc>
        <w:tc>
          <w:tcPr>
            <w:tcW w:w="427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现场隔离、设备更换、初期险情控制</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信息联络组</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服务台专员</w:t>
            </w:r>
          </w:p>
        </w:tc>
        <w:tc>
          <w:tcPr>
            <w:tcW w:w="427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信息通报、过程记录、对接客户</w:t>
            </w:r>
          </w:p>
        </w:tc>
      </w:tr>
      <w:tr>
        <w:tblPrEx>
          <w:tblW w:w="8495" w:type="dxa"/>
          <w:jc w:val="center"/>
          <w:shd w:val="clear" w:color="auto" w:fill="auto"/>
          <w:tblCellMar>
            <w:top w:w="15" w:type="dxa"/>
            <w:left w:w="15" w:type="dxa"/>
            <w:bottom w:w="15" w:type="dxa"/>
            <w:right w:w="15" w:type="dxa"/>
          </w:tblCellMar>
        </w:tblPrEx>
        <w:trPr>
          <w:trHeight w:val="0"/>
          <w:jc w:val="center"/>
        </w:trPr>
        <w:tc>
          <w:tcPr>
            <w:tcW w:w="1409"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后勤支持组</w:t>
            </w:r>
          </w:p>
        </w:tc>
        <w:tc>
          <w:tcPr>
            <w:tcW w:w="2809"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宋体" w:hAnsi="Segoe UI" w:cs="Segoe UI" w:hint="eastAsia"/>
                <w:i w:val="0"/>
                <w:iCs w:val="0"/>
                <w:caps w:val="0"/>
                <w:color w:val="0F1115"/>
                <w:spacing w:val="0"/>
                <w:sz w:val="18"/>
                <w:szCs w:val="18"/>
                <w:lang w:val="en-US" w:eastAsia="zh-CN"/>
              </w:rPr>
            </w:pPr>
            <w:r>
              <w:rPr>
                <w:rFonts w:ascii="Segoe UI" w:eastAsia="宋体" w:hAnsi="Segoe UI" w:cs="Segoe UI" w:hint="eastAsia"/>
                <w:i w:val="0"/>
                <w:iCs w:val="0"/>
                <w:caps w:val="0"/>
                <w:color w:val="0F1115"/>
                <w:spacing w:val="0"/>
                <w:sz w:val="18"/>
                <w:szCs w:val="18"/>
                <w:lang w:val="en-US" w:eastAsia="zh-CN"/>
              </w:rPr>
              <w:t>采购部</w:t>
            </w:r>
          </w:p>
        </w:tc>
        <w:tc>
          <w:tcPr>
            <w:tcW w:w="4277"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物资调配、交通保障、后勤服务</w:t>
            </w:r>
          </w:p>
        </w:tc>
      </w:tr>
    </w:tbl>
    <w:p>
      <w:pPr>
        <w:pStyle w:val="1"/>
        <w:bidi w:val="0"/>
        <w:rPr>
          <w:rFonts w:hint="default"/>
          <w:lang w:val="en-US" w:eastAsia="zh-CN"/>
        </w:rPr>
      </w:pPr>
      <w:bookmarkStart w:id="9" w:name="_Toc21045"/>
      <w:r>
        <w:rPr>
          <w:rFonts w:hint="default"/>
          <w:lang w:val="en-US" w:eastAsia="zh-CN"/>
        </w:rPr>
        <w:t>演练流程</w:t>
      </w:r>
      <w:bookmarkEnd w:id="9"/>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2283"/>
        <w:gridCol w:w="2665"/>
        <w:gridCol w:w="3547"/>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指标项</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目标值</w:t>
            </w:r>
          </w:p>
        </w:tc>
        <w:tc>
          <w:tcPr>
            <w:tcW w:w="3547"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评估方式</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故障上报时间</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≤5分钟</w:t>
            </w:r>
          </w:p>
        </w:tc>
        <w:tc>
          <w:tcPr>
            <w:tcW w:w="354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记录上报时间点</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应急响应启动时间</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≤10分钟</w:t>
            </w:r>
          </w:p>
        </w:tc>
        <w:tc>
          <w:tcPr>
            <w:tcW w:w="354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记录启动指令发出时间</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数据库恢复时间</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≤4小时</w:t>
            </w:r>
          </w:p>
        </w:tc>
        <w:tc>
          <w:tcPr>
            <w:tcW w:w="354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记录故障发生至恢复完成时间</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网络恢复时间</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≤2小时</w:t>
            </w:r>
          </w:p>
        </w:tc>
        <w:tc>
          <w:tcPr>
            <w:tcW w:w="354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记录故障发生至网络恢复时间</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数据完整性</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恢复后数据无丢失</w:t>
            </w:r>
          </w:p>
        </w:tc>
        <w:tc>
          <w:tcPr>
            <w:tcW w:w="354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数据一致性校验</w:t>
            </w:r>
          </w:p>
        </w:tc>
      </w:tr>
      <w:tr>
        <w:tblPrEx>
          <w:tblW w:w="8495" w:type="dxa"/>
          <w:jc w:val="center"/>
          <w:shd w:val="clear" w:color="auto" w:fill="auto"/>
          <w:tblCellMar>
            <w:top w:w="15" w:type="dxa"/>
            <w:left w:w="15" w:type="dxa"/>
            <w:bottom w:w="15" w:type="dxa"/>
            <w:right w:w="15" w:type="dxa"/>
          </w:tblCellMar>
        </w:tblPrEx>
        <w:trPr>
          <w:trHeight w:val="0"/>
          <w:jc w:val="center"/>
        </w:trPr>
        <w:tc>
          <w:tcPr>
            <w:tcW w:w="2283"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客户业务验证</w:t>
            </w:r>
          </w:p>
        </w:tc>
        <w:tc>
          <w:tcPr>
            <w:tcW w:w="2665"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核心功能100%可用</w:t>
            </w:r>
          </w:p>
        </w:tc>
        <w:tc>
          <w:tcPr>
            <w:tcW w:w="3547"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客户确认</w:t>
            </w:r>
          </w:p>
        </w:tc>
      </w:tr>
    </w:tbl>
    <w:p>
      <w:pPr>
        <w:pStyle w:val="1"/>
        <w:bidi w:val="0"/>
        <w:rPr>
          <w:rFonts w:hint="default"/>
          <w:lang w:val="en-US" w:eastAsia="zh-CN"/>
        </w:rPr>
      </w:pPr>
      <w:bookmarkStart w:id="10" w:name="_Toc28513"/>
      <w:r>
        <w:rPr>
          <w:rFonts w:hint="default"/>
          <w:lang w:val="en-US" w:eastAsia="zh-CN"/>
        </w:rPr>
        <w:t>演练评估指标</w:t>
      </w:r>
      <w:bookmarkEnd w:id="10"/>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2315"/>
        <w:gridCol w:w="1575"/>
        <w:gridCol w:w="4605"/>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物资名称</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数量</w:t>
            </w:r>
          </w:p>
        </w:tc>
        <w:tc>
          <w:tcPr>
            <w:tcW w:w="4605"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用途</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备用交换机</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1台</w:t>
            </w:r>
          </w:p>
        </w:tc>
        <w:tc>
          <w:tcPr>
            <w:tcW w:w="460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网络故障场景演练</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备用网线</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若干</w:t>
            </w:r>
          </w:p>
        </w:tc>
        <w:tc>
          <w:tcPr>
            <w:tcW w:w="460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网络故障场景演练</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测试笔记本</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1台</w:t>
            </w:r>
          </w:p>
        </w:tc>
        <w:tc>
          <w:tcPr>
            <w:tcW w:w="460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预装数据库恢复工具</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应急U盘</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1个</w:t>
            </w:r>
          </w:p>
        </w:tc>
        <w:tc>
          <w:tcPr>
            <w:tcW w:w="460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含备份脚本、恢复手册</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应急通讯录</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1份</w:t>
            </w:r>
          </w:p>
        </w:tc>
        <w:tc>
          <w:tcPr>
            <w:tcW w:w="460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各小组及客户方联系方式</w:t>
            </w:r>
          </w:p>
        </w:tc>
      </w:tr>
      <w:tr>
        <w:tblPrEx>
          <w:tblW w:w="8495" w:type="dxa"/>
          <w:jc w:val="center"/>
          <w:shd w:val="clear" w:color="auto" w:fill="auto"/>
          <w:tblCellMar>
            <w:top w:w="15" w:type="dxa"/>
            <w:left w:w="15" w:type="dxa"/>
            <w:bottom w:w="15" w:type="dxa"/>
            <w:right w:w="15" w:type="dxa"/>
          </w:tblCellMar>
        </w:tblPrEx>
        <w:trPr>
          <w:trHeight w:val="0"/>
          <w:jc w:val="center"/>
        </w:trPr>
        <w:tc>
          <w:tcPr>
            <w:tcW w:w="2315"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演练记录表</w:t>
            </w:r>
          </w:p>
        </w:tc>
        <w:tc>
          <w:tcPr>
            <w:tcW w:w="1575"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若干</w:t>
            </w:r>
          </w:p>
        </w:tc>
        <w:tc>
          <w:tcPr>
            <w:tcW w:w="4605"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记录演练过程</w:t>
            </w:r>
          </w:p>
        </w:tc>
      </w:tr>
    </w:tbl>
    <w:p>
      <w:pPr>
        <w:pStyle w:val="1"/>
        <w:bidi w:val="0"/>
        <w:rPr>
          <w:rFonts w:hint="default"/>
          <w:lang w:val="en-US" w:eastAsia="zh-CN"/>
        </w:rPr>
      </w:pPr>
      <w:bookmarkStart w:id="11" w:name="_Toc16515"/>
      <w:r>
        <w:rPr>
          <w:rFonts w:hint="default"/>
          <w:lang w:val="en-US" w:eastAsia="zh-CN"/>
        </w:rPr>
        <w:t>演练物资准备</w:t>
      </w:r>
      <w:bookmarkEnd w:id="11"/>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483"/>
        <w:gridCol w:w="7012"/>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风险</w:t>
            </w:r>
          </w:p>
        </w:tc>
        <w:tc>
          <w:tcPr>
            <w:tcW w:w="7012"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应对措施</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误操作风险</w:t>
            </w:r>
          </w:p>
        </w:tc>
        <w:tc>
          <w:tcPr>
            <w:tcW w:w="701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演练前对生产系统做快照/全量备份；演练中严格区分演练环境与生产环境</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业务影响风险</w:t>
            </w:r>
          </w:p>
        </w:tc>
        <w:tc>
          <w:tcPr>
            <w:tcW w:w="701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选择周末非业务时段进行；提前通知客户相关人员</w:t>
            </w:r>
          </w:p>
        </w:tc>
      </w:tr>
      <w:tr>
        <w:tblPrEx>
          <w:tblW w:w="8495" w:type="dxa"/>
          <w:jc w:val="center"/>
          <w:shd w:val="clear" w:color="auto" w:fill="auto"/>
          <w:tblCellMar>
            <w:top w:w="15" w:type="dxa"/>
            <w:left w:w="15" w:type="dxa"/>
            <w:bottom w:w="15" w:type="dxa"/>
            <w:right w:w="15" w:type="dxa"/>
          </w:tblCellMar>
        </w:tblPrEx>
        <w:trPr>
          <w:trHeight w:val="0"/>
          <w:jc w:val="center"/>
        </w:trPr>
        <w:tc>
          <w:tcPr>
            <w:tcW w:w="1483"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演练失败风险</w:t>
            </w:r>
          </w:p>
        </w:tc>
        <w:tc>
          <w:tcPr>
            <w:tcW w:w="7012"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准备回退方案；若30分钟内无法恢复，立即终止演练并恢复系统</w:t>
            </w:r>
          </w:p>
        </w:tc>
      </w:tr>
    </w:tbl>
    <w:p>
      <w:pPr>
        <w:pStyle w:val="1"/>
        <w:bidi w:val="0"/>
        <w:rPr>
          <w:rFonts w:hint="default"/>
          <w:lang w:val="en-US" w:eastAsia="zh-CN"/>
        </w:rPr>
      </w:pPr>
      <w:bookmarkStart w:id="12" w:name="_Toc14045"/>
      <w:r>
        <w:rPr>
          <w:rFonts w:hint="default"/>
          <w:lang w:val="en-US" w:eastAsia="zh-CN"/>
        </w:rPr>
        <w:t>演练总结与改进</w:t>
      </w:r>
      <w:bookmarkEnd w:id="12"/>
    </w:p>
    <w:p>
      <w:pPr>
        <w:pStyle w:val="a1"/>
        <w:numPr>
          <w:ilvl w:val="0"/>
          <w:numId w:val="0"/>
        </w:numPr>
        <w:bidi w:val="0"/>
        <w:ind w:left="420" w:leftChars="200"/>
        <w:rPr>
          <w:rFonts w:hint="default"/>
          <w:lang w:val="en-US" w:eastAsia="zh-CN"/>
        </w:rPr>
      </w:pPr>
      <w:r>
        <w:rPr>
          <w:rFonts w:hint="default"/>
          <w:lang w:val="en-US" w:eastAsia="zh-CN"/>
        </w:rPr>
        <w:t>演练后评估：演练结束后1周内，组织复盘会议，评估演练效果。</w:t>
      </w:r>
    </w:p>
    <w:p>
      <w:pPr>
        <w:pStyle w:val="a1"/>
        <w:numPr>
          <w:ilvl w:val="0"/>
          <w:numId w:val="0"/>
        </w:numPr>
        <w:bidi w:val="0"/>
        <w:ind w:left="420" w:leftChars="200"/>
        <w:rPr>
          <w:rFonts w:hint="default"/>
          <w:lang w:val="en-US" w:eastAsia="zh-CN"/>
        </w:rPr>
      </w:pPr>
      <w:r>
        <w:rPr>
          <w:rFonts w:hint="default"/>
          <w:lang w:val="en-US" w:eastAsia="zh-CN"/>
        </w:rPr>
        <w:t>问题整改：对演练中发现的问题，制定整改措施，明确责任人和完成时间。</w:t>
      </w:r>
    </w:p>
    <w:p>
      <w:pPr>
        <w:pStyle w:val="a1"/>
        <w:numPr>
          <w:ilvl w:val="0"/>
          <w:numId w:val="0"/>
        </w:numPr>
        <w:bidi w:val="0"/>
        <w:ind w:left="420" w:leftChars="200"/>
        <w:rPr>
          <w:rFonts w:hint="default"/>
          <w:lang w:val="en-US" w:eastAsia="zh-CN"/>
        </w:rPr>
      </w:pPr>
      <w:r>
        <w:rPr>
          <w:rFonts w:hint="default"/>
          <w:lang w:val="en-US" w:eastAsia="zh-CN"/>
        </w:rPr>
        <w:t>预案优化：根据演练结果，修订应急预案中的不足。</w:t>
      </w:r>
    </w:p>
    <w:p>
      <w:pPr>
        <w:pStyle w:val="a1"/>
        <w:numPr>
          <w:ilvl w:val="0"/>
          <w:numId w:val="0"/>
        </w:numPr>
        <w:bidi w:val="0"/>
        <w:ind w:left="420" w:leftChars="200"/>
        <w:rPr>
          <w:rFonts w:hint="default"/>
          <w:lang w:val="en-US" w:eastAsia="zh-CN"/>
        </w:rPr>
      </w:pPr>
      <w:r>
        <w:rPr>
          <w:rFonts w:hint="default"/>
          <w:lang w:val="en-US" w:eastAsia="zh-CN"/>
        </w:rPr>
        <w:t>报告归档：演练报告（TYSW-10-0</w:t>
      </w:r>
      <w:r>
        <w:rPr>
          <w:rFonts w:hint="eastAsia"/>
          <w:lang w:val="en-US" w:eastAsia="zh-CN"/>
        </w:rPr>
        <w:t>5</w:t>
      </w:r>
      <w:r>
        <w:rPr>
          <w:rFonts w:hint="default"/>
          <w:lang w:val="en-US" w:eastAsia="zh-CN"/>
        </w:rPr>
        <w:t>）报质量部备案。</w:t>
      </w:r>
    </w:p>
    <w:p>
      <w:pPr>
        <w:pStyle w:val="1"/>
        <w:bidi w:val="0"/>
        <w:rPr>
          <w:rFonts w:hint="default"/>
          <w:lang w:val="en-US" w:eastAsia="zh-CN"/>
        </w:rPr>
      </w:pPr>
      <w:bookmarkStart w:id="13" w:name="_Toc11133"/>
      <w:r>
        <w:rPr>
          <w:rFonts w:hint="default"/>
          <w:lang w:val="en-US" w:eastAsia="zh-CN"/>
        </w:rPr>
        <w:t>附件</w:t>
      </w:r>
      <w:bookmarkEnd w:id="13"/>
    </w:p>
    <w:p>
      <w:pPr>
        <w:pStyle w:val="a1"/>
        <w:numPr>
          <w:ilvl w:val="0"/>
          <w:numId w:val="0"/>
        </w:numPr>
        <w:bidi w:val="0"/>
        <w:ind w:left="420" w:leftChars="200"/>
        <w:rPr>
          <w:rFonts w:hint="default"/>
          <w:lang w:val="en-US" w:eastAsia="zh-CN"/>
        </w:rPr>
      </w:pPr>
      <w:r>
        <w:rPr>
          <w:rFonts w:hint="default"/>
          <w:lang w:val="en-US" w:eastAsia="zh-CN"/>
        </w:rPr>
        <w:t>《应急演练计划》（TYSW-10-0</w:t>
      </w:r>
      <w:r>
        <w:rPr>
          <w:rFonts w:hint="eastAsia"/>
          <w:lang w:val="en-US" w:eastAsia="zh-CN"/>
        </w:rPr>
        <w:t>4</w:t>
      </w:r>
      <w:r>
        <w:rPr>
          <w:rFonts w:hint="default"/>
          <w:lang w:val="en-US" w:eastAsia="zh-CN"/>
        </w:rPr>
        <w:t>）</w:t>
      </w:r>
    </w:p>
    <w:p>
      <w:pPr>
        <w:pStyle w:val="a1"/>
        <w:numPr>
          <w:ilvl w:val="0"/>
          <w:numId w:val="0"/>
        </w:numPr>
        <w:bidi w:val="0"/>
        <w:ind w:left="420" w:leftChars="200"/>
        <w:rPr>
          <w:rFonts w:hint="default"/>
          <w:lang w:val="en-US" w:eastAsia="zh-CN"/>
        </w:rPr>
      </w:pPr>
      <w:r>
        <w:rPr>
          <w:rFonts w:hint="default"/>
          <w:lang w:val="en-US" w:eastAsia="zh-CN"/>
        </w:rPr>
        <w:t>《应急演练评估表》（TYSW-10-08附件）</w:t>
      </w:r>
    </w:p>
    <w:p>
      <w:pPr>
        <w:pStyle w:val="a1"/>
        <w:numPr>
          <w:ilvl w:val="0"/>
          <w:numId w:val="0"/>
        </w:numPr>
        <w:bidi w:val="0"/>
        <w:ind w:left="420" w:leftChars="200"/>
        <w:rPr>
          <w:rFonts w:hint="default"/>
          <w:lang w:val="en-US" w:eastAsia="zh-CN"/>
        </w:rPr>
      </w:pPr>
      <w:r>
        <w:rPr>
          <w:rFonts w:hint="default"/>
          <w:lang w:val="en-US" w:eastAsia="zh-CN"/>
        </w:rPr>
        <w:t>《应急通讯联络表》</w:t>
      </w:r>
    </w:p>
    <w:p>
      <w:pPr>
        <w:pStyle w:val="a1"/>
        <w:numPr>
          <w:ilvl w:val="0"/>
          <w:numId w:val="0"/>
        </w:numPr>
        <w:bidi w:val="0"/>
        <w:ind w:left="420" w:leftChars="200"/>
        <w:rPr>
          <w:rFonts w:hint="default"/>
          <w:lang w:val="en-US" w:eastAsia="zh-CN"/>
        </w:rPr>
      </w:pPr>
      <w:r>
        <w:rPr>
          <w:rFonts w:hint="default"/>
          <w:lang w:val="en-US" w:eastAsia="zh-CN"/>
        </w:rPr>
        <w:t>《系统备份与恢复操作手册》</w:t>
      </w:r>
    </w:p>
    <w:sectPr>
      <w:headerReference w:type="default" r:id="rId6"/>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肇庆市天鹰生物科技有限公司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link w:val="3Char"/>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character" w:customStyle="1" w:styleId="3Char">
    <w:name w:val="柴_标题3 Char"/>
    <w:link w:val="3"/>
    <w:qFormat/>
    <w:rPr>
      <w:rFonts w:ascii="宋体" w:eastAsia="宋体" w:hAnsi="宋体" w:cs="宋体"/>
      <w:spacing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7</Pages>
  <Words>1995</Words>
  <Characters>2168</Characters>
  <Application>Microsoft Office Word</Application>
  <DocSecurity>0</DocSecurity>
  <Lines>0</Lines>
  <Paragraphs>0</Paragraphs>
  <ScaleCrop>false</ScaleCrop>
  <Company/>
  <LinksUpToDate>false</LinksUpToDate>
  <CharactersWithSpaces>2223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2026-03-21T09:35:49Z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