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1380"/>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肇庆市天鹰生物科技有限公司</w:t>
      </w:r>
      <w:bookmarkEnd w:id="0"/>
    </w:p>
    <w:p>
      <w:pPr>
        <w:keepNext w:val="0"/>
        <w:keepLines w:val="0"/>
        <w:pageBreakBefore w:val="0"/>
        <w:widowControl w:val="0"/>
        <w:suppressLineNumbers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ascii="黑体" w:eastAsia="黑体" w:hAnsi="黑体" w:cs="黑体" w:hint="default"/>
          <w:b/>
          <w:bCs/>
          <w:snapToGrid w:val="0"/>
          <w:color w:val="000000"/>
          <w:spacing w:val="-7"/>
          <w:kern w:val="0"/>
          <w:sz w:val="52"/>
          <w:szCs w:val="52"/>
          <w:lang w:val="en-US" w:eastAsia="zh-CN" w:bidi="ar-SA"/>
        </w:rPr>
      </w:pPr>
      <w:r>
        <w:rPr>
          <w:rFonts w:ascii="黑体" w:eastAsia="黑体" w:hAnsi="黑体" w:cs="黑体" w:hint="eastAsia"/>
          <w:b/>
          <w:bCs/>
          <w:snapToGrid w:val="0"/>
          <w:color w:val="000000"/>
          <w:spacing w:val="-7"/>
          <w:kern w:val="0"/>
          <w:sz w:val="52"/>
          <w:szCs w:val="52"/>
          <w:lang w:val="en-US" w:eastAsia="zh-CN" w:bidi="ar-SA"/>
        </w:rPr>
        <w:t>西安国豪生物科技有限公司生物工程技术研发试验分析系统运维服务项目-应急预案</w:t>
      </w:r>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eastAsia"/>
          <w:sz w:val="24"/>
          <w:szCs w:val="24"/>
          <w:lang w:val="en-US" w:eastAsia="zh-CN"/>
        </w:rPr>
      </w:pPr>
      <w:r>
        <w:rPr>
          <w:rFonts w:ascii="宋体" w:eastAsia="宋体" w:hAnsi="宋体" w:cs="宋体"/>
          <w:b/>
          <w:bCs/>
          <w:spacing w:val="-3"/>
          <w:sz w:val="24"/>
          <w:szCs w:val="24"/>
        </w:rPr>
        <w:t>文件编号：</w:t>
      </w:r>
      <w:r>
        <w:rPr>
          <w:rFonts w:ascii="宋体" w:eastAsia="宋体" w:hAnsi="宋体" w:cs="宋体" w:hint="eastAsia"/>
          <w:b/>
          <w:bCs/>
          <w:spacing w:val="-3"/>
          <w:sz w:val="24"/>
          <w:szCs w:val="24"/>
          <w:lang w:val="en-US" w:eastAsia="zh-CN"/>
        </w:rPr>
        <w:t>TYSW</w:t>
      </w:r>
      <w:r>
        <w:rPr>
          <w:rFonts w:ascii="宋体" w:eastAsia="宋体" w:hAnsi="宋体" w:cs="宋体"/>
          <w:b/>
          <w:bCs/>
          <w:spacing w:val="-3"/>
          <w:sz w:val="24"/>
          <w:szCs w:val="24"/>
        </w:rPr>
        <w:t>-</w:t>
      </w:r>
      <w:r>
        <w:rPr>
          <w:rFonts w:ascii="宋体" w:hAnsi="宋体" w:cs="宋体" w:hint="eastAsia"/>
          <w:b/>
          <w:bCs/>
          <w:spacing w:val="-3"/>
          <w:sz w:val="24"/>
          <w:szCs w:val="24"/>
          <w:lang w:val="en-US" w:eastAsia="zh-CN"/>
        </w:rPr>
        <w:t>10</w:t>
      </w:r>
      <w:r>
        <w:rPr>
          <w:rFonts w:ascii="宋体" w:eastAsia="宋体" w:hAnsi="宋体" w:cs="宋体"/>
          <w:b/>
          <w:bCs/>
          <w:spacing w:val="-3"/>
          <w:sz w:val="24"/>
          <w:szCs w:val="24"/>
        </w:rPr>
        <w:t>-0</w:t>
      </w:r>
      <w:r>
        <w:rPr>
          <w:rFonts w:ascii="宋体" w:hAnsi="宋体" w:cs="宋体" w:hint="eastAsia"/>
          <w:b/>
          <w:bCs/>
          <w:spacing w:val="-3"/>
          <w:sz w:val="24"/>
          <w:szCs w:val="24"/>
          <w:lang w:val="en-US" w:eastAsia="zh-CN"/>
        </w:rPr>
        <w:t>3</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2025.02.20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2025.02.20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asciiTheme="minorAscii" w:eastAsiaTheme="minorEastAsia" w:hAnsiTheme="minorAscii" w:hint="eastAsia"/>
                <w:spacing w:val="227"/>
                <w:sz w:val="21"/>
                <w:vertAlign w:val="baseline"/>
                <w:lang w:val="en-US" w:eastAsia="zh-CN"/>
              </w:rPr>
              <w:t>:</w:t>
            </w:r>
            <w:r>
              <w:rPr>
                <w:rFonts w:hint="eastAsia"/>
                <w:u w:val="single"/>
                <w:lang w:val="en-US" w:eastAsia="zh-CN"/>
              </w:rPr>
              <w:t>吴智锋</w:t>
            </w:r>
          </w:p>
        </w:tc>
        <w:tc>
          <w:tcPr>
            <w:tcW w:w="2708" w:type="dxa"/>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2025.02.20</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p>
      <w:pPr>
        <w:keepNext w:val="0"/>
        <w:keepLines w:val="0"/>
        <w:pageBreakBefore w:val="0"/>
        <w:widowControl w:val="0"/>
        <w:kinsoku w:val="0"/>
        <w:wordWrap/>
        <w:overflowPunct/>
        <w:topLinePunct w:val="0"/>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w:t>
            </w:r>
            <w:r>
              <w:rPr>
                <w:rFonts w:ascii="宋体" w:hAnsi="宋体" w:cs="宋体" w:hint="eastAsia"/>
                <w:spacing w:val="3"/>
                <w:position w:val="1"/>
                <w:sz w:val="20"/>
                <w:szCs w:val="20"/>
                <w:lang w:val="en-US" w:eastAsia="zh-CN"/>
              </w:rPr>
              <w:t>02</w:t>
            </w:r>
            <w:r>
              <w:rPr>
                <w:rFonts w:ascii="宋体" w:eastAsia="宋体" w:hAnsi="宋体" w:cs="宋体"/>
                <w:spacing w:val="3"/>
                <w:position w:val="1"/>
                <w:sz w:val="20"/>
                <w:szCs w:val="20"/>
              </w:rPr>
              <w:t>.</w:t>
            </w:r>
            <w:r>
              <w:rPr>
                <w:rFonts w:ascii="宋体" w:hAnsi="宋体" w:cs="宋体" w:hint="eastAsia"/>
                <w:spacing w:val="3"/>
                <w:position w:val="1"/>
                <w:sz w:val="20"/>
                <w:szCs w:val="20"/>
                <w:lang w:val="en-US" w:eastAsia="zh-CN"/>
              </w:rPr>
              <w:t>20</w:t>
            </w:r>
          </w:p>
        </w:tc>
        <w:tc>
          <w:tcPr>
            <w:tcW w:w="919" w:type="dxa"/>
          </w:tcPr>
          <w:p>
            <w:pPr>
              <w:keepNext w:val="0"/>
              <w:keepLines w:val="0"/>
              <w:pageBreakBefore w:val="0"/>
              <w:widowControl w:val="0"/>
              <w:kinsoku w:val="0"/>
              <w:wordWrap/>
              <w:overflowPunct/>
              <w:topLinePunct w:val="0"/>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topLinePunct w:val="0"/>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topLinePunct w:val="0"/>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吴智锋</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bookmarkStart w:id="1" w:name="_GoBack"/>
          <w:bookmarkEnd w:id="1"/>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_Toc11380 </w:instrText>
          </w:r>
          <w:r>
            <w:rPr>
              <w:rFonts w:ascii="宋体" w:eastAsia="宋体" w:hAnsi="宋体" w:cs="宋体" w:hint="eastAsia"/>
              <w:szCs w:val="24"/>
            </w:rPr>
            <w:fldChar w:fldCharType="separate"/>
          </w:r>
          <w:r>
            <w:rPr>
              <w:rFonts w:hint="eastAsia"/>
              <w:lang w:val="en-US" w:eastAsia="zh-CN"/>
            </w:rPr>
            <w:t>肇庆市天鹰生物科技有限公司</w:t>
          </w:r>
          <w:r>
            <w:tab/>
          </w:r>
          <w:r>
            <w:fldChar w:fldCharType="begin"/>
          </w:r>
          <w:r>
            <w:instrText xml:space="preserve"> PAGEREF _Toc11380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_Toc931 </w:instrText>
          </w:r>
          <w:r>
            <w:rPr>
              <w:rFonts w:ascii="宋体" w:eastAsia="宋体" w:hAnsi="宋体" w:cs="宋体" w:hint="eastAsia"/>
              <w:szCs w:val="24"/>
            </w:rPr>
            <w:fldChar w:fldCharType="separate"/>
          </w:r>
          <w:r>
            <w:rPr>
              <w:rFonts w:hint="default"/>
              <w:lang w:val="en-US" w:eastAsia="zh-CN"/>
            </w:rPr>
            <w:t>1. 总则</w:t>
          </w:r>
          <w:r>
            <w:tab/>
          </w:r>
          <w:r>
            <w:fldChar w:fldCharType="begin"/>
          </w:r>
          <w:r>
            <w:instrText xml:space="preserve"> PAGEREF _Toc931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_Toc4157 </w:instrText>
          </w:r>
          <w:r>
            <w:rPr>
              <w:rFonts w:ascii="宋体" w:eastAsia="宋体" w:hAnsi="宋体" w:cs="宋体" w:hint="eastAsia"/>
              <w:szCs w:val="24"/>
            </w:rPr>
            <w:fldChar w:fldCharType="separate"/>
          </w:r>
          <w:r>
            <w:rPr>
              <w:rFonts w:hint="default"/>
              <w:lang w:val="en-US" w:eastAsia="zh-CN"/>
            </w:rPr>
            <w:t>1.1. 编制目的</w:t>
          </w:r>
          <w:r>
            <w:tab/>
          </w:r>
          <w:r>
            <w:fldChar w:fldCharType="begin"/>
          </w:r>
          <w:r>
            <w:instrText xml:space="preserve"> PAGEREF _Toc4157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_Toc16808 </w:instrText>
          </w:r>
          <w:r>
            <w:rPr>
              <w:rFonts w:ascii="宋体" w:eastAsia="宋体" w:hAnsi="宋体" w:cs="宋体" w:hint="eastAsia"/>
              <w:szCs w:val="24"/>
            </w:rPr>
            <w:fldChar w:fldCharType="separate"/>
          </w:r>
          <w:r>
            <w:rPr>
              <w:rFonts w:hint="default"/>
              <w:lang w:val="en-US" w:eastAsia="zh-CN"/>
            </w:rPr>
            <w:t>1.2. 适用范围</w:t>
          </w:r>
          <w:r>
            <w:tab/>
          </w:r>
          <w:r>
            <w:fldChar w:fldCharType="begin"/>
          </w:r>
          <w:r>
            <w:instrText xml:space="preserve"> PAGEREF _Toc16808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_Toc16045 </w:instrText>
          </w:r>
          <w:r>
            <w:rPr>
              <w:rFonts w:ascii="宋体" w:eastAsia="宋体" w:hAnsi="宋体" w:cs="宋体" w:hint="eastAsia"/>
              <w:szCs w:val="24"/>
            </w:rPr>
            <w:fldChar w:fldCharType="separate"/>
          </w:r>
          <w:r>
            <w:rPr>
              <w:rFonts w:hint="default"/>
              <w:lang w:val="en-US" w:eastAsia="zh-CN"/>
            </w:rPr>
            <w:t>1.3. 工作原则</w:t>
          </w:r>
          <w:r>
            <w:tab/>
          </w:r>
          <w:r>
            <w:fldChar w:fldCharType="begin"/>
          </w:r>
          <w:r>
            <w:instrText xml:space="preserve"> PAGEREF _Toc16045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_Toc3838 </w:instrText>
          </w:r>
          <w:r>
            <w:rPr>
              <w:rFonts w:ascii="宋体" w:eastAsia="宋体" w:hAnsi="宋体" w:cs="宋体" w:hint="eastAsia"/>
              <w:szCs w:val="24"/>
            </w:rPr>
            <w:fldChar w:fldCharType="separate"/>
          </w:r>
          <w:r>
            <w:rPr>
              <w:rFonts w:hint="default"/>
              <w:lang w:val="en-US" w:eastAsia="zh-CN"/>
            </w:rPr>
            <w:t>2. 应急组织架构与职责</w:t>
          </w:r>
          <w:r>
            <w:tab/>
          </w:r>
          <w:r>
            <w:fldChar w:fldCharType="begin"/>
          </w:r>
          <w:r>
            <w:instrText xml:space="preserve"> PAGEREF _Toc3838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_Toc5721 </w:instrText>
          </w:r>
          <w:r>
            <w:rPr>
              <w:rFonts w:ascii="宋体" w:eastAsia="宋体" w:hAnsi="宋体" w:cs="宋体" w:hint="eastAsia"/>
              <w:szCs w:val="24"/>
            </w:rPr>
            <w:fldChar w:fldCharType="separate"/>
          </w:r>
          <w:r>
            <w:rPr>
              <w:rFonts w:hint="default"/>
              <w:lang w:val="en-US" w:eastAsia="zh-CN"/>
            </w:rPr>
            <w:t>2.1. 应急指挥部</w:t>
          </w:r>
          <w:r>
            <w:tab/>
          </w:r>
          <w:r>
            <w:fldChar w:fldCharType="begin"/>
          </w:r>
          <w:r>
            <w:instrText xml:space="preserve"> PAGEREF _Toc5721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_Toc27665 </w:instrText>
          </w:r>
          <w:r>
            <w:rPr>
              <w:rFonts w:ascii="宋体" w:eastAsia="宋体" w:hAnsi="宋体" w:cs="宋体" w:hint="eastAsia"/>
              <w:szCs w:val="24"/>
            </w:rPr>
            <w:fldChar w:fldCharType="separate"/>
          </w:r>
          <w:r>
            <w:rPr>
              <w:rFonts w:hint="default"/>
              <w:lang w:val="en-US" w:eastAsia="zh-CN"/>
            </w:rPr>
            <w:t>2.2. 专项应急工作组</w:t>
          </w:r>
          <w:r>
            <w:tab/>
          </w:r>
          <w:r>
            <w:fldChar w:fldCharType="begin"/>
          </w:r>
          <w:r>
            <w:instrText xml:space="preserve"> PAGEREF _Toc27665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_Toc27009 </w:instrText>
          </w:r>
          <w:r>
            <w:rPr>
              <w:rFonts w:ascii="宋体" w:eastAsia="宋体" w:hAnsi="宋体" w:cs="宋体" w:hint="eastAsia"/>
              <w:szCs w:val="24"/>
            </w:rPr>
            <w:fldChar w:fldCharType="separate"/>
          </w:r>
          <w:r>
            <w:rPr>
              <w:rFonts w:hint="default"/>
              <w:lang w:val="en-US" w:eastAsia="zh-CN"/>
            </w:rPr>
            <w:t>3. 风险分级与响应机制</w:t>
          </w:r>
          <w:r>
            <w:tab/>
          </w:r>
          <w:r>
            <w:fldChar w:fldCharType="begin"/>
          </w:r>
          <w:r>
            <w:instrText xml:space="preserve"> PAGEREF _Toc27009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_Toc28567 </w:instrText>
          </w:r>
          <w:r>
            <w:rPr>
              <w:rFonts w:ascii="宋体" w:eastAsia="宋体" w:hAnsi="宋体" w:cs="宋体" w:hint="eastAsia"/>
              <w:szCs w:val="24"/>
            </w:rPr>
            <w:fldChar w:fldCharType="separate"/>
          </w:r>
          <w:r>
            <w:rPr>
              <w:rFonts w:hint="default"/>
              <w:lang w:val="en-US" w:eastAsia="zh-CN"/>
            </w:rPr>
            <w:t>3.1. 风险分级标准</w:t>
          </w:r>
          <w:r>
            <w:tab/>
          </w:r>
          <w:r>
            <w:fldChar w:fldCharType="begin"/>
          </w:r>
          <w:r>
            <w:instrText xml:space="preserve"> PAGEREF _Toc28567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_Toc13203 </w:instrText>
          </w:r>
          <w:r>
            <w:rPr>
              <w:rFonts w:ascii="宋体" w:eastAsia="宋体" w:hAnsi="宋体" w:cs="宋体" w:hint="eastAsia"/>
              <w:szCs w:val="24"/>
            </w:rPr>
            <w:fldChar w:fldCharType="separate"/>
          </w:r>
          <w:r>
            <w:rPr>
              <w:rFonts w:hint="default"/>
              <w:lang w:val="en-US" w:eastAsia="zh-CN"/>
            </w:rPr>
            <w:t>3.2. 分级响应流程</w:t>
          </w:r>
          <w:r>
            <w:tab/>
          </w:r>
          <w:r>
            <w:fldChar w:fldCharType="begin"/>
          </w:r>
          <w:r>
            <w:instrText xml:space="preserve"> PAGEREF _Toc13203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_Toc12433 </w:instrText>
          </w:r>
          <w:r>
            <w:rPr>
              <w:rFonts w:ascii="宋体" w:eastAsia="宋体" w:hAnsi="宋体" w:cs="宋体" w:hint="eastAsia"/>
              <w:szCs w:val="24"/>
            </w:rPr>
            <w:fldChar w:fldCharType="separate"/>
          </w:r>
          <w:r>
            <w:rPr>
              <w:rFonts w:hint="default"/>
              <w:lang w:val="en-US" w:eastAsia="zh-CN"/>
            </w:rPr>
            <w:t>4. 应急处置通用流程</w:t>
          </w:r>
          <w:r>
            <w:tab/>
          </w:r>
          <w:r>
            <w:fldChar w:fldCharType="begin"/>
          </w:r>
          <w:r>
            <w:instrText xml:space="preserve"> PAGEREF _Toc12433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_Toc15281 </w:instrText>
          </w:r>
          <w:r>
            <w:rPr>
              <w:rFonts w:ascii="宋体" w:eastAsia="宋体" w:hAnsi="宋体" w:cs="宋体" w:hint="eastAsia"/>
              <w:szCs w:val="24"/>
            </w:rPr>
            <w:fldChar w:fldCharType="separate"/>
          </w:r>
          <w:r>
            <w:rPr>
              <w:rFonts w:hint="default"/>
              <w:lang w:val="en-US" w:eastAsia="zh-CN"/>
            </w:rPr>
            <w:t>4.1. 预警与上报</w:t>
          </w:r>
          <w:r>
            <w:tab/>
          </w:r>
          <w:r>
            <w:fldChar w:fldCharType="begin"/>
          </w:r>
          <w:r>
            <w:instrText xml:space="preserve"> PAGEREF _Toc15281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_Toc15673 </w:instrText>
          </w:r>
          <w:r>
            <w:rPr>
              <w:rFonts w:ascii="宋体" w:eastAsia="宋体" w:hAnsi="宋体" w:cs="宋体" w:hint="eastAsia"/>
              <w:szCs w:val="24"/>
            </w:rPr>
            <w:fldChar w:fldCharType="separate"/>
          </w:r>
          <w:r>
            <w:rPr>
              <w:rFonts w:hint="default"/>
              <w:lang w:val="en-US" w:eastAsia="zh-CN"/>
            </w:rPr>
            <w:t>4.2. 应急启动</w:t>
          </w:r>
          <w:r>
            <w:tab/>
          </w:r>
          <w:r>
            <w:fldChar w:fldCharType="begin"/>
          </w:r>
          <w:r>
            <w:instrText xml:space="preserve"> PAGEREF _Toc15673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_Toc5213 </w:instrText>
          </w:r>
          <w:r>
            <w:rPr>
              <w:rFonts w:ascii="宋体" w:eastAsia="宋体" w:hAnsi="宋体" w:cs="宋体" w:hint="eastAsia"/>
              <w:szCs w:val="24"/>
            </w:rPr>
            <w:fldChar w:fldCharType="separate"/>
          </w:r>
          <w:r>
            <w:rPr>
              <w:rFonts w:hint="default"/>
              <w:lang w:val="en-US" w:eastAsia="zh-CN"/>
            </w:rPr>
            <w:t>4.3. 现场处置</w:t>
          </w:r>
          <w:r>
            <w:tab/>
          </w:r>
          <w:r>
            <w:fldChar w:fldCharType="begin"/>
          </w:r>
          <w:r>
            <w:instrText xml:space="preserve"> PAGEREF _Toc5213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_Toc28265 </w:instrText>
          </w:r>
          <w:r>
            <w:rPr>
              <w:rFonts w:ascii="宋体" w:eastAsia="宋体" w:hAnsi="宋体" w:cs="宋体" w:hint="eastAsia"/>
              <w:szCs w:val="24"/>
            </w:rPr>
            <w:fldChar w:fldCharType="separate"/>
          </w:r>
          <w:r>
            <w:rPr>
              <w:rFonts w:hint="default"/>
              <w:lang w:val="en-US" w:eastAsia="zh-CN"/>
            </w:rPr>
            <w:t>4.4. 恢复与验收</w:t>
          </w:r>
          <w:r>
            <w:tab/>
          </w:r>
          <w:r>
            <w:fldChar w:fldCharType="begin"/>
          </w:r>
          <w:r>
            <w:instrText xml:space="preserve"> PAGEREF _Toc28265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_Toc10699 </w:instrText>
          </w:r>
          <w:r>
            <w:rPr>
              <w:rFonts w:ascii="宋体" w:eastAsia="宋体" w:hAnsi="宋体" w:cs="宋体" w:hint="eastAsia"/>
              <w:szCs w:val="24"/>
            </w:rPr>
            <w:fldChar w:fldCharType="separate"/>
          </w:r>
          <w:r>
            <w:rPr>
              <w:rFonts w:hint="default"/>
              <w:lang w:val="en-US" w:eastAsia="zh-CN"/>
            </w:rPr>
            <w:t>4.5. 应急终止</w:t>
          </w:r>
          <w:r>
            <w:tab/>
          </w:r>
          <w:r>
            <w:fldChar w:fldCharType="begin"/>
          </w:r>
          <w:r>
            <w:instrText xml:space="preserve"> PAGEREF _Toc10699 \h </w:instrText>
          </w:r>
          <w:r>
            <w:fldChar w:fldCharType="separate"/>
          </w:r>
          <w:r>
            <w:t>8</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_Toc9030 </w:instrText>
          </w:r>
          <w:r>
            <w:rPr>
              <w:rFonts w:ascii="宋体" w:eastAsia="宋体" w:hAnsi="宋体" w:cs="宋体" w:hint="eastAsia"/>
              <w:szCs w:val="24"/>
            </w:rPr>
            <w:fldChar w:fldCharType="separate"/>
          </w:r>
          <w:r>
            <w:rPr>
              <w:rFonts w:hint="default"/>
              <w:lang w:val="en-US" w:eastAsia="zh-CN"/>
            </w:rPr>
            <w:t>5. 专项应急处置方案</w:t>
          </w:r>
          <w:r>
            <w:tab/>
          </w:r>
          <w:r>
            <w:fldChar w:fldCharType="begin"/>
          </w:r>
          <w:r>
            <w:instrText xml:space="preserve"> PAGEREF _Toc9030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_Toc23390 </w:instrText>
          </w:r>
          <w:r>
            <w:rPr>
              <w:rFonts w:ascii="宋体" w:eastAsia="宋体" w:hAnsi="宋体" w:cs="宋体" w:hint="eastAsia"/>
              <w:szCs w:val="24"/>
            </w:rPr>
            <w:fldChar w:fldCharType="separate"/>
          </w:r>
          <w:r>
            <w:rPr>
              <w:rFonts w:hint="default"/>
              <w:lang w:val="en-US" w:eastAsia="zh-CN"/>
            </w:rPr>
            <w:t>5.1. 数据库故障</w:t>
          </w:r>
          <w:r>
            <w:tab/>
          </w:r>
          <w:r>
            <w:fldChar w:fldCharType="begin"/>
          </w:r>
          <w:r>
            <w:instrText xml:space="preserve"> PAGEREF _Toc23390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_Toc3890 </w:instrText>
          </w:r>
          <w:r>
            <w:rPr>
              <w:rFonts w:ascii="宋体" w:eastAsia="宋体" w:hAnsi="宋体" w:cs="宋体" w:hint="eastAsia"/>
              <w:szCs w:val="24"/>
            </w:rPr>
            <w:fldChar w:fldCharType="separate"/>
          </w:r>
          <w:r>
            <w:rPr>
              <w:rFonts w:hint="default"/>
              <w:lang w:val="en-US" w:eastAsia="zh-CN"/>
            </w:rPr>
            <w:t>5.2. 应用系统功能异常</w:t>
          </w:r>
          <w:r>
            <w:tab/>
          </w:r>
          <w:r>
            <w:fldChar w:fldCharType="begin"/>
          </w:r>
          <w:r>
            <w:instrText xml:space="preserve"> PAGEREF _Toc3890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_Toc16978 </w:instrText>
          </w:r>
          <w:r>
            <w:rPr>
              <w:rFonts w:ascii="宋体" w:eastAsia="宋体" w:hAnsi="宋体" w:cs="宋体" w:hint="eastAsia"/>
              <w:szCs w:val="24"/>
            </w:rPr>
            <w:fldChar w:fldCharType="separate"/>
          </w:r>
          <w:r>
            <w:rPr>
              <w:rFonts w:hint="default"/>
              <w:lang w:val="en-US" w:eastAsia="zh-CN"/>
            </w:rPr>
            <w:t>5.3. 网络中断</w:t>
          </w:r>
          <w:r>
            <w:tab/>
          </w:r>
          <w:r>
            <w:fldChar w:fldCharType="begin"/>
          </w:r>
          <w:r>
            <w:instrText xml:space="preserve"> PAGEREF _Toc16978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_Toc21581 </w:instrText>
          </w:r>
          <w:r>
            <w:rPr>
              <w:rFonts w:ascii="宋体" w:eastAsia="宋体" w:hAnsi="宋体" w:cs="宋体" w:hint="eastAsia"/>
              <w:szCs w:val="24"/>
            </w:rPr>
            <w:fldChar w:fldCharType="separate"/>
          </w:r>
          <w:r>
            <w:rPr>
              <w:rFonts w:hint="default"/>
              <w:lang w:val="en-US" w:eastAsia="zh-CN"/>
            </w:rPr>
            <w:t>5.4. 数据安全事件</w:t>
          </w:r>
          <w:r>
            <w:tab/>
          </w:r>
          <w:r>
            <w:fldChar w:fldCharType="begin"/>
          </w:r>
          <w:r>
            <w:instrText xml:space="preserve"> PAGEREF _Toc21581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_Toc5815 </w:instrText>
          </w:r>
          <w:r>
            <w:rPr>
              <w:rFonts w:ascii="宋体" w:eastAsia="宋体" w:hAnsi="宋体" w:cs="宋体" w:hint="eastAsia"/>
              <w:szCs w:val="24"/>
            </w:rPr>
            <w:fldChar w:fldCharType="separate"/>
          </w:r>
          <w:r>
            <w:rPr>
              <w:rFonts w:hint="default"/>
              <w:lang w:val="en-US" w:eastAsia="zh-CN"/>
            </w:rPr>
            <w:t>5.4.1. 数据泄露/篡改</w:t>
          </w:r>
          <w:r>
            <w:tab/>
          </w:r>
          <w:r>
            <w:fldChar w:fldCharType="begin"/>
          </w:r>
          <w:r>
            <w:instrText xml:space="preserve"> PAGEREF _Toc5815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_Toc14102 </w:instrText>
          </w:r>
          <w:r>
            <w:rPr>
              <w:rFonts w:ascii="宋体" w:eastAsia="宋体" w:hAnsi="宋体" w:cs="宋体" w:hint="eastAsia"/>
              <w:szCs w:val="24"/>
            </w:rPr>
            <w:fldChar w:fldCharType="separate"/>
          </w:r>
          <w:r>
            <w:rPr>
              <w:rFonts w:hint="default"/>
              <w:lang w:val="en-US" w:eastAsia="zh-CN"/>
            </w:rPr>
            <w:t>5.4.2. 备份恢复失败</w:t>
          </w:r>
          <w:r>
            <w:tab/>
          </w:r>
          <w:r>
            <w:fldChar w:fldCharType="begin"/>
          </w:r>
          <w:r>
            <w:instrText xml:space="preserve"> PAGEREF _Toc14102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_Toc27929 </w:instrText>
          </w:r>
          <w:r>
            <w:rPr>
              <w:rFonts w:ascii="宋体" w:eastAsia="宋体" w:hAnsi="宋体" w:cs="宋体" w:hint="eastAsia"/>
              <w:szCs w:val="24"/>
            </w:rPr>
            <w:fldChar w:fldCharType="separate"/>
          </w:r>
          <w:r>
            <w:rPr>
              <w:rFonts w:hint="default"/>
              <w:lang w:val="en-US" w:eastAsia="zh-CN"/>
            </w:rPr>
            <w:t>5.5. 网络攻击</w:t>
          </w:r>
          <w:r>
            <w:tab/>
          </w:r>
          <w:r>
            <w:fldChar w:fldCharType="begin"/>
          </w:r>
          <w:r>
            <w:instrText xml:space="preserve"> PAGEREF _Toc27929 \h </w:instrText>
          </w:r>
          <w:r>
            <w:fldChar w:fldCharType="separate"/>
          </w:r>
          <w:r>
            <w:t>10</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_Toc23519 </w:instrText>
          </w:r>
          <w:r>
            <w:rPr>
              <w:rFonts w:ascii="宋体" w:eastAsia="宋体" w:hAnsi="宋体" w:cs="宋体" w:hint="eastAsia"/>
              <w:szCs w:val="24"/>
            </w:rPr>
            <w:fldChar w:fldCharType="separate"/>
          </w:r>
          <w:r>
            <w:rPr>
              <w:rFonts w:hint="default"/>
              <w:lang w:val="en-US" w:eastAsia="zh-CN"/>
            </w:rPr>
            <w:t>5.5.1. DDoS/CC攻击</w:t>
          </w:r>
          <w:r>
            <w:tab/>
          </w:r>
          <w:r>
            <w:fldChar w:fldCharType="begin"/>
          </w:r>
          <w:r>
            <w:instrText xml:space="preserve"> PAGEREF _Toc23519 \h </w:instrText>
          </w:r>
          <w:r>
            <w:fldChar w:fldCharType="separate"/>
          </w:r>
          <w:r>
            <w:t>10</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_Toc6794 </w:instrText>
          </w:r>
          <w:r>
            <w:rPr>
              <w:rFonts w:ascii="宋体" w:eastAsia="宋体" w:hAnsi="宋体" w:cs="宋体" w:hint="eastAsia"/>
              <w:szCs w:val="24"/>
            </w:rPr>
            <w:fldChar w:fldCharType="separate"/>
          </w:r>
          <w:r>
            <w:rPr>
              <w:rFonts w:hint="default"/>
              <w:lang w:val="en-US" w:eastAsia="zh-CN"/>
            </w:rPr>
            <w:t>5.5.2. 勒索病毒/蠕虫</w:t>
          </w:r>
          <w:r>
            <w:tab/>
          </w:r>
          <w:r>
            <w:fldChar w:fldCharType="begin"/>
          </w:r>
          <w:r>
            <w:instrText xml:space="preserve"> PAGEREF _Toc6794 \h </w:instrText>
          </w:r>
          <w:r>
            <w:fldChar w:fldCharType="separate"/>
          </w:r>
          <w:r>
            <w:t>10</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_Toc17727 </w:instrText>
          </w:r>
          <w:r>
            <w:rPr>
              <w:rFonts w:ascii="宋体" w:eastAsia="宋体" w:hAnsi="宋体" w:cs="宋体" w:hint="eastAsia"/>
              <w:szCs w:val="24"/>
            </w:rPr>
            <w:fldChar w:fldCharType="separate"/>
          </w:r>
          <w:r>
            <w:rPr>
              <w:rFonts w:hint="default"/>
              <w:lang w:val="en-US" w:eastAsia="zh-CN"/>
            </w:rPr>
            <w:t>6. 应急保障</w:t>
          </w:r>
          <w:r>
            <w:tab/>
          </w:r>
          <w:r>
            <w:fldChar w:fldCharType="begin"/>
          </w:r>
          <w:r>
            <w:instrText xml:space="preserve"> PAGEREF _Toc17727 \h </w:instrText>
          </w:r>
          <w:r>
            <w:fldChar w:fldCharType="separate"/>
          </w:r>
          <w:r>
            <w:t>10</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_Toc14832 </w:instrText>
          </w:r>
          <w:r>
            <w:rPr>
              <w:rFonts w:ascii="宋体" w:eastAsia="宋体" w:hAnsi="宋体" w:cs="宋体" w:hint="eastAsia"/>
              <w:szCs w:val="24"/>
            </w:rPr>
            <w:fldChar w:fldCharType="separate"/>
          </w:r>
          <w:r>
            <w:rPr>
              <w:rFonts w:hint="default"/>
              <w:lang w:val="en-US" w:eastAsia="zh-CN"/>
            </w:rPr>
            <w:t>6.1. 人员保障</w:t>
          </w:r>
          <w:r>
            <w:tab/>
          </w:r>
          <w:r>
            <w:fldChar w:fldCharType="begin"/>
          </w:r>
          <w:r>
            <w:instrText xml:space="preserve"> PAGEREF _Toc14832 \h </w:instrText>
          </w:r>
          <w:r>
            <w:fldChar w:fldCharType="separate"/>
          </w:r>
          <w:r>
            <w:t>10</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_Toc17055 </w:instrText>
          </w:r>
          <w:r>
            <w:rPr>
              <w:rFonts w:ascii="宋体" w:eastAsia="宋体" w:hAnsi="宋体" w:cs="宋体" w:hint="eastAsia"/>
              <w:szCs w:val="24"/>
            </w:rPr>
            <w:fldChar w:fldCharType="separate"/>
          </w:r>
          <w:r>
            <w:rPr>
              <w:rFonts w:hint="default"/>
              <w:lang w:val="en-US" w:eastAsia="zh-CN"/>
            </w:rPr>
            <w:t>6.2. 物资保障</w:t>
          </w:r>
          <w:r>
            <w:tab/>
          </w:r>
          <w:r>
            <w:fldChar w:fldCharType="begin"/>
          </w:r>
          <w:r>
            <w:instrText xml:space="preserve"> PAGEREF _Toc17055 \h </w:instrText>
          </w:r>
          <w:r>
            <w:fldChar w:fldCharType="separate"/>
          </w:r>
          <w:r>
            <w:t>10</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_Toc25789 </w:instrText>
          </w:r>
          <w:r>
            <w:rPr>
              <w:rFonts w:ascii="宋体" w:eastAsia="宋体" w:hAnsi="宋体" w:cs="宋体" w:hint="eastAsia"/>
              <w:szCs w:val="24"/>
            </w:rPr>
            <w:fldChar w:fldCharType="separate"/>
          </w:r>
          <w:r>
            <w:rPr>
              <w:rFonts w:hint="default"/>
              <w:lang w:val="en-US" w:eastAsia="zh-CN"/>
            </w:rPr>
            <w:t>6.3. 技术保障</w:t>
          </w:r>
          <w:r>
            <w:tab/>
          </w:r>
          <w:r>
            <w:fldChar w:fldCharType="begin"/>
          </w:r>
          <w:r>
            <w:instrText xml:space="preserve"> PAGEREF _Toc25789 \h </w:instrText>
          </w:r>
          <w:r>
            <w:fldChar w:fldCharType="separate"/>
          </w:r>
          <w:r>
            <w:t>11</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_Toc14480 </w:instrText>
          </w:r>
          <w:r>
            <w:rPr>
              <w:rFonts w:ascii="宋体" w:eastAsia="宋体" w:hAnsi="宋体" w:cs="宋体" w:hint="eastAsia"/>
              <w:szCs w:val="24"/>
            </w:rPr>
            <w:fldChar w:fldCharType="separate"/>
          </w:r>
          <w:r>
            <w:rPr>
              <w:rFonts w:hint="default"/>
              <w:lang w:val="en-US" w:eastAsia="zh-CN"/>
            </w:rPr>
            <w:t>6.4. 通讯保障</w:t>
          </w:r>
          <w:r>
            <w:tab/>
          </w:r>
          <w:r>
            <w:fldChar w:fldCharType="begin"/>
          </w:r>
          <w:r>
            <w:instrText xml:space="preserve"> PAGEREF _Toc14480 \h </w:instrText>
          </w:r>
          <w:r>
            <w:fldChar w:fldCharType="separate"/>
          </w:r>
          <w:r>
            <w:t>11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_Toc642 </w:instrText>
          </w:r>
          <w:r>
            <w:rPr>
              <w:rFonts w:ascii="宋体" w:eastAsia="宋体" w:hAnsi="宋体" w:cs="宋体" w:hint="eastAsia"/>
              <w:szCs w:val="24"/>
            </w:rPr>
            <w:fldChar w:fldCharType="separate"/>
          </w:r>
          <w:r>
            <w:rPr>
              <w:rFonts w:hint="default"/>
              <w:lang w:val="en-US" w:eastAsia="zh-CN"/>
            </w:rPr>
            <w:t>7. 预案管理</w:t>
          </w:r>
          <w:r>
            <w:tab/>
          </w:r>
          <w:r>
            <w:fldChar w:fldCharType="begin"/>
          </w:r>
          <w:r>
            <w:instrText xml:space="preserve"> PAGEREF _Toc642 \h </w:instrText>
          </w:r>
          <w:r>
            <w:fldChar w:fldCharType="separate"/>
          </w:r>
          <w:r>
            <w:t>11</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_Toc14489 </w:instrText>
          </w:r>
          <w:r>
            <w:rPr>
              <w:rFonts w:ascii="宋体" w:eastAsia="宋体" w:hAnsi="宋体" w:cs="宋体" w:hint="eastAsia"/>
              <w:szCs w:val="24"/>
            </w:rPr>
            <w:fldChar w:fldCharType="separate"/>
          </w:r>
          <w:r>
            <w:rPr>
              <w:rFonts w:hint="default"/>
              <w:lang w:val="en-US" w:eastAsia="zh-CN"/>
            </w:rPr>
            <w:t>7.1. 预案培训</w:t>
          </w:r>
          <w:r>
            <w:tab/>
          </w:r>
          <w:r>
            <w:fldChar w:fldCharType="begin"/>
          </w:r>
          <w:r>
            <w:instrText xml:space="preserve"> PAGEREF _Toc14489 \h </w:instrText>
          </w:r>
          <w:r>
            <w:fldChar w:fldCharType="separate"/>
          </w:r>
          <w:r>
            <w:t>11</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_Toc28155 </w:instrText>
          </w:r>
          <w:r>
            <w:rPr>
              <w:rFonts w:ascii="宋体" w:eastAsia="宋体" w:hAnsi="宋体" w:cs="宋体" w:hint="eastAsia"/>
              <w:szCs w:val="24"/>
            </w:rPr>
            <w:fldChar w:fldCharType="separate"/>
          </w:r>
          <w:r>
            <w:rPr>
              <w:rFonts w:hint="default"/>
              <w:lang w:val="en-US" w:eastAsia="zh-CN"/>
            </w:rPr>
            <w:t>7.2. 预案演练</w:t>
          </w:r>
          <w:r>
            <w:tab/>
          </w:r>
          <w:r>
            <w:fldChar w:fldCharType="begin"/>
          </w:r>
          <w:r>
            <w:instrText xml:space="preserve"> PAGEREF _Toc28155 \h </w:instrText>
          </w:r>
          <w:r>
            <w:fldChar w:fldCharType="separate"/>
          </w:r>
          <w:r>
            <w:t>11</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_Toc19603 </w:instrText>
          </w:r>
          <w:r>
            <w:rPr>
              <w:rFonts w:ascii="宋体" w:eastAsia="宋体" w:hAnsi="宋体" w:cs="宋体" w:hint="eastAsia"/>
              <w:szCs w:val="24"/>
            </w:rPr>
            <w:fldChar w:fldCharType="separate"/>
          </w:r>
          <w:r>
            <w:rPr>
              <w:rFonts w:hint="default"/>
              <w:lang w:val="en-US" w:eastAsia="zh-CN"/>
            </w:rPr>
            <w:t>7.3. 预案修订</w:t>
          </w:r>
          <w:r>
            <w:tab/>
          </w:r>
          <w:r>
            <w:fldChar w:fldCharType="begin"/>
          </w:r>
          <w:r>
            <w:instrText xml:space="preserve"> PAGEREF _Toc19603 \h </w:instrText>
          </w:r>
          <w:r>
            <w:fldChar w:fldCharType="separate"/>
          </w:r>
          <w:r>
            <w:t>11</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_Toc25470 </w:instrText>
          </w:r>
          <w:r>
            <w:rPr>
              <w:rFonts w:ascii="宋体" w:eastAsia="宋体" w:hAnsi="宋体" w:cs="宋体" w:hint="eastAsia"/>
              <w:szCs w:val="24"/>
            </w:rPr>
            <w:fldChar w:fldCharType="separate"/>
          </w:r>
          <w:r>
            <w:rPr>
              <w:rFonts w:hint="default"/>
              <w:lang w:val="en-US" w:eastAsia="zh-CN"/>
            </w:rPr>
            <w:t>7.4. 复盘总结</w:t>
          </w:r>
          <w:r>
            <w:tab/>
          </w:r>
          <w:r>
            <w:fldChar w:fldCharType="begin"/>
          </w:r>
          <w:r>
            <w:instrText xml:space="preserve"> PAGEREF _Toc25470 \h </w:instrText>
          </w:r>
          <w:r>
            <w:fldChar w:fldCharType="separate"/>
          </w:r>
          <w:r>
            <w:t>11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_Toc14805 </w:instrText>
          </w:r>
          <w:r>
            <w:rPr>
              <w:rFonts w:ascii="宋体" w:eastAsia="宋体" w:hAnsi="宋体" w:cs="宋体" w:hint="eastAsia"/>
              <w:szCs w:val="24"/>
            </w:rPr>
            <w:fldChar w:fldCharType="separate"/>
          </w:r>
          <w:r>
            <w:rPr>
              <w:rFonts w:hint="default"/>
              <w:lang w:val="en-US" w:eastAsia="zh-CN"/>
            </w:rPr>
            <w:t>8. 附件</w:t>
          </w:r>
          <w:r>
            <w:tab/>
          </w:r>
          <w:r>
            <w:fldChar w:fldCharType="begin"/>
          </w:r>
          <w:r>
            <w:instrText xml:space="preserve"> PAGEREF _Toc14805 \h </w:instrText>
          </w:r>
          <w:r>
            <w:fldChar w:fldCharType="separate"/>
          </w:r>
          <w:r>
            <w:t>12</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931"/>
      <w:r>
        <w:rPr>
          <w:rFonts w:hint="default"/>
          <w:lang w:val="en-US" w:eastAsia="zh-CN"/>
        </w:rPr>
        <w:t>总则</w:t>
      </w:r>
      <w:bookmarkEnd w:id="2"/>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4157"/>
      <w:r>
        <w:rPr>
          <w:rFonts w:hint="default"/>
          <w:lang w:val="en-US" w:eastAsia="zh-CN"/>
        </w:rPr>
        <w:t>编制目的</w:t>
      </w:r>
      <w:bookmarkEnd w:id="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建立健全西安国豪生物科技有限公司（以下简称“甲方”）“生物工程技术研发试验分析系统”运维服务突发事件应急处置机制，规范应急响应流程，快速、高效、有序地处置各类运维突发故障与灾难事件，最大限度降低事件对甲方研发业务及数据安全造成的损失，保障系统稳定、持续、安全运行，特制定本预案。</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16808"/>
      <w:r>
        <w:rPr>
          <w:rFonts w:hint="default"/>
          <w:lang w:val="en-US" w:eastAsia="zh-CN"/>
        </w:rPr>
        <w:t>适用范围</w:t>
      </w:r>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本预案适用于本项目运维服务期间发生的各类系统故障、网络中断、数据异常、安全攻击等突发事件的预防、预警、处置及后续恢复工作，覆盖运维服务全流程及所有参与运维工作的人员、设备与业务场景。</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16045"/>
      <w:r>
        <w:rPr>
          <w:rFonts w:hint="default"/>
          <w:lang w:val="en-US" w:eastAsia="zh-CN"/>
        </w:rPr>
        <w:t>工作原则</w:t>
      </w:r>
      <w:bookmarkEnd w:id="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预防为主，防治结合：常态化开展风险排查与隐患整改，加强系统巡检、数据备份及应急演练，提前防范各类潜在风险，做到早发现、早预警、早处置。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分级响应，快速处置：根据突发事件的严重程度划分故障等级，对应启动不同层级的应急响应，明确各层级处置权限与流程，确保响应及时、处置高效。</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协同联动，权责清晰：明确应急组织架构中各部门、各岗位的职责分工，加强内部协同及与甲方、第三方厂商等外部单位的联动配合，形成应急处置合力。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闭环管理，持续优化：应急事件处置完成后，及时开展复盘总结，分析事件原因、评估处置效果，优化应急预案与运维策略，持续提升应急处置能力。</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3838"/>
      <w:r>
        <w:rPr>
          <w:rFonts w:hint="default"/>
          <w:lang w:val="en-US" w:eastAsia="zh-CN"/>
        </w:rPr>
        <w:t>应急组织架构与职责</w:t>
      </w:r>
      <w:bookmarkEnd w:id="6"/>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5721"/>
      <w:r>
        <w:rPr>
          <w:rFonts w:hint="default"/>
          <w:lang w:val="en-US" w:eastAsia="zh-CN"/>
        </w:rPr>
        <w:t>应急指挥部</w:t>
      </w:r>
      <w:bookmarkEnd w:id="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成立应急指挥部作为应急处置核心决策机构：</w:t>
      </w:r>
    </w:p>
    <w:p>
      <w:pPr>
        <w:rPr>
          <w:rFonts w:hint="default"/>
          <w:lang w:val="en-US" w:eastAsia="zh-CN"/>
        </w:rPr>
      </w:pPr>
      <w:r>
        <w:rPr>
          <w:rFonts w:hint="default"/>
          <w:lang w:val="en-US" w:eastAsia="zh-CN"/>
        </w:rPr>
        <w:br w:type="page"/>
      </w:r>
    </w:p>
    <w:tbl>
      <w:tblPr>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982"/>
        <w:gridCol w:w="1561"/>
        <w:gridCol w:w="5979"/>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982"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bdr w:val="nil"/>
                <w:lang w:val="en-US" w:eastAsia="zh-CN"/>
              </w:rPr>
              <w:t>职务</w:t>
            </w:r>
          </w:p>
        </w:tc>
        <w:tc>
          <w:tcPr>
            <w:tcW w:w="1561"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bdr w:val="nil"/>
                <w:lang w:val="en-US" w:eastAsia="zh-CN"/>
              </w:rPr>
              <w:t>人员</w:t>
            </w:r>
          </w:p>
        </w:tc>
        <w:tc>
          <w:tcPr>
            <w:tcW w:w="5979"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bdr w:val="nil"/>
                <w:lang w:val="en-US" w:eastAsia="zh-CN"/>
              </w:rPr>
              <w:t>职责</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bdr w:val="nil"/>
                <w:lang w:val="en-US" w:eastAsia="zh-CN"/>
              </w:rPr>
              <w:t>总指挥</w:t>
            </w:r>
          </w:p>
        </w:tc>
        <w:tc>
          <w:tcPr>
            <w:tcW w:w="156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池杜旺（运维部经理）</w:t>
            </w:r>
          </w:p>
        </w:tc>
        <w:tc>
          <w:tcPr>
            <w:tcW w:w="597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负责应急预案的启动与终止审批，制定重大应急处置决策；统筹协调应急资源，协调外部支持力量；监督应急处置全过程，评估应急处置效果</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2"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bdr w:val="nil"/>
                <w:lang w:val="en-US" w:eastAsia="zh-CN"/>
              </w:rPr>
              <w:t>副总指挥</w:t>
            </w:r>
          </w:p>
        </w:tc>
        <w:tc>
          <w:tcPr>
            <w:tcW w:w="156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甲方信息中心负责人</w:t>
            </w:r>
          </w:p>
        </w:tc>
        <w:tc>
          <w:tcPr>
            <w:tcW w:w="5979"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协调甲方内部资源，确认恢复结果，参与重大决策</w:t>
            </w:r>
          </w:p>
        </w:tc>
      </w:tr>
      <w:tr>
        <w:tblPrEx>
          <w:tblW w:w="8522" w:type="dxa"/>
          <w:jc w:val="center"/>
          <w:shd w:val="clear" w:color="auto" w:fill="auto"/>
          <w:tblCellMar>
            <w:top w:w="15" w:type="dxa"/>
            <w:left w:w="15" w:type="dxa"/>
            <w:bottom w:w="15" w:type="dxa"/>
            <w:right w:w="15" w:type="dxa"/>
          </w:tblCellMar>
        </w:tblPrEx>
        <w:trPr>
          <w:trHeight w:val="0"/>
          <w:jc w:val="center"/>
        </w:trPr>
        <w:tc>
          <w:tcPr>
            <w:tcW w:w="982"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bdr w:val="nil"/>
                <w:lang w:val="en-US" w:eastAsia="zh-CN"/>
              </w:rPr>
              <w:t>成员</w:t>
            </w:r>
          </w:p>
        </w:tc>
        <w:tc>
          <w:tcPr>
            <w:tcW w:w="1561"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技术专家、质量管理人员</w:t>
            </w:r>
          </w:p>
        </w:tc>
        <w:tc>
          <w:tcPr>
            <w:tcW w:w="5979"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参与应急决策，提供技术支持，监督处置过程</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27665"/>
      <w:r>
        <w:rPr>
          <w:rFonts w:hint="default"/>
          <w:lang w:val="en-US" w:eastAsia="zh-CN"/>
        </w:rPr>
        <w:t>专项应急工作组</w:t>
      </w:r>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应急指挥部下设4个专项应急工作组：</w:t>
      </w:r>
    </w:p>
    <w:tbl>
      <w:tblPr>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161"/>
        <w:gridCol w:w="2151"/>
        <w:gridCol w:w="5210"/>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161"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bdr w:val="nil"/>
                <w:lang w:val="en-US" w:eastAsia="zh-CN"/>
              </w:rPr>
              <w:t>工作组</w:t>
            </w:r>
          </w:p>
        </w:tc>
        <w:tc>
          <w:tcPr>
            <w:tcW w:w="2151"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both"/>
              <w:rPr>
                <w:rFonts w:ascii="Segoe UI" w:eastAsia="宋体" w:hAnsi="Segoe UI" w:cs="Segoe UI" w:hint="default"/>
                <w:b/>
                <w:i w:val="0"/>
                <w:iCs w:val="0"/>
                <w:caps w:val="0"/>
                <w:color w:val="0F1115"/>
                <w:spacing w:val="0"/>
                <w:sz w:val="18"/>
                <w:szCs w:val="18"/>
                <w:lang w:val="en-US" w:eastAsia="zh-CN"/>
              </w:rPr>
            </w:pPr>
            <w:r>
              <w:rPr>
                <w:rFonts w:ascii="Segoe UI" w:eastAsia="宋体" w:hAnsi="Segoe UI" w:cs="Segoe UI" w:hint="eastAsia"/>
                <w:b/>
                <w:i w:val="0"/>
                <w:iCs w:val="0"/>
                <w:caps w:val="0"/>
                <w:color w:val="0F1115"/>
                <w:spacing w:val="0"/>
                <w:sz w:val="18"/>
                <w:szCs w:val="18"/>
                <w:lang w:val="en-US" w:eastAsia="zh-CN"/>
              </w:rPr>
              <w:t>部门/人员</w:t>
            </w:r>
          </w:p>
        </w:tc>
        <w:tc>
          <w:tcPr>
            <w:tcW w:w="5210"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bdr w:val="nil"/>
                <w:lang w:val="en-US" w:eastAsia="zh-CN"/>
              </w:rPr>
              <w:t>核心职责</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61"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bdr w:val="nil"/>
                <w:lang w:val="en-US" w:eastAsia="zh-CN"/>
              </w:rPr>
              <w:t>技术保障组</w:t>
            </w:r>
          </w:p>
        </w:tc>
        <w:tc>
          <w:tcPr>
            <w:tcW w:w="215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何煜成、何柱光（运维工程师）</w:t>
            </w:r>
          </w:p>
        </w:tc>
        <w:tc>
          <w:tcPr>
            <w:tcW w:w="521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负责故障诊断、技术方案制定与实施，开展系统恢复、数据修复、性能优化等工作</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61"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bdr w:val="nil"/>
                <w:lang w:val="en-US" w:eastAsia="zh-CN"/>
              </w:rPr>
              <w:t>现场抢险组</w:t>
            </w:r>
          </w:p>
        </w:tc>
        <w:tc>
          <w:tcPr>
            <w:tcW w:w="215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eastAsia"/>
                <w:i w:val="0"/>
                <w:iCs w:val="0"/>
                <w:caps w:val="0"/>
                <w:snapToGrid w:val="0"/>
                <w:color w:val="000000"/>
                <w:spacing w:val="0"/>
                <w:kern w:val="0"/>
                <w:sz w:val="18"/>
                <w:szCs w:val="18"/>
                <w:bdr w:val="nil"/>
                <w:lang w:val="en-US" w:eastAsia="zh-CN"/>
              </w:rPr>
              <w:t>运维</w:t>
            </w:r>
            <w:r>
              <w:rPr>
                <w:rFonts w:ascii="Segoe UI" w:eastAsia="Segoe UI" w:hAnsi="Segoe UI" w:cs="Segoe UI" w:hint="default"/>
                <w:i w:val="0"/>
                <w:iCs w:val="0"/>
                <w:caps w:val="0"/>
                <w:snapToGrid w:val="0"/>
                <w:color w:val="000000"/>
                <w:spacing w:val="0"/>
                <w:kern w:val="0"/>
                <w:sz w:val="18"/>
                <w:szCs w:val="18"/>
                <w:bdr w:val="nil"/>
                <w:lang w:val="en-US" w:eastAsia="zh-CN"/>
              </w:rPr>
              <w:t>工程师</w:t>
            </w:r>
          </w:p>
        </w:tc>
        <w:tc>
          <w:tcPr>
            <w:tcW w:w="521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负责现场初期险情控制（如断电、隔离感染终端等），保护关键设备与数据，执行现场设备更换</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61"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bdr w:val="nil"/>
                <w:lang w:val="en-US" w:eastAsia="zh-CN"/>
              </w:rPr>
              <w:t>信息联络组</w:t>
            </w:r>
          </w:p>
        </w:tc>
        <w:tc>
          <w:tcPr>
            <w:tcW w:w="2151"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服务台专员</w:t>
            </w:r>
          </w:p>
        </w:tc>
        <w:tc>
          <w:tcPr>
            <w:tcW w:w="5210"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负责应急信息的上传下达，记录应急处置过程，对接甲方及外部单位，发布处置进展</w:t>
            </w:r>
          </w:p>
        </w:tc>
      </w:tr>
      <w:tr>
        <w:tblPrEx>
          <w:tblW w:w="8522" w:type="dxa"/>
          <w:jc w:val="center"/>
          <w:shd w:val="clear" w:color="auto" w:fill="auto"/>
          <w:tblCellMar>
            <w:top w:w="15" w:type="dxa"/>
            <w:left w:w="15" w:type="dxa"/>
            <w:bottom w:w="15" w:type="dxa"/>
            <w:right w:w="15" w:type="dxa"/>
          </w:tblCellMar>
        </w:tblPrEx>
        <w:trPr>
          <w:trHeight w:val="0"/>
          <w:jc w:val="center"/>
        </w:trPr>
        <w:tc>
          <w:tcPr>
            <w:tcW w:w="1161"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bdr w:val="nil"/>
                <w:lang w:val="en-US" w:eastAsia="zh-CN"/>
              </w:rPr>
              <w:t>后勤支持组</w:t>
            </w:r>
          </w:p>
        </w:tc>
        <w:tc>
          <w:tcPr>
            <w:tcW w:w="2151"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宋体" w:hAnsi="Segoe UI" w:cs="Segoe UI" w:hint="default"/>
                <w:i w:val="0"/>
                <w:iCs w:val="0"/>
                <w:caps w:val="0"/>
                <w:color w:val="0F1115"/>
                <w:spacing w:val="0"/>
                <w:sz w:val="18"/>
                <w:szCs w:val="18"/>
                <w:lang w:val="en-US" w:eastAsia="zh-CN"/>
              </w:rPr>
            </w:pPr>
            <w:r>
              <w:rPr>
                <w:rFonts w:ascii="Segoe UI" w:eastAsia="宋体" w:hAnsi="Segoe UI" w:cs="Segoe UI" w:hint="eastAsia"/>
                <w:i w:val="0"/>
                <w:iCs w:val="0"/>
                <w:caps w:val="0"/>
                <w:color w:val="0F1115"/>
                <w:spacing w:val="0"/>
                <w:sz w:val="18"/>
                <w:szCs w:val="18"/>
                <w:lang w:val="en-US" w:eastAsia="zh-CN"/>
              </w:rPr>
              <w:t>采购部、综合管理部</w:t>
            </w:r>
          </w:p>
        </w:tc>
        <w:tc>
          <w:tcPr>
            <w:tcW w:w="5210"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负责应急物资调配、交通保障、经费支持及后勤服务</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27009"/>
      <w:r>
        <w:rPr>
          <w:rFonts w:hint="default"/>
          <w:lang w:val="en-US" w:eastAsia="zh-CN"/>
        </w:rPr>
        <w:t>风险分级与响应机制</w:t>
      </w:r>
      <w:bookmarkEnd w:id="9"/>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28567"/>
      <w:r>
        <w:rPr>
          <w:rFonts w:hint="default"/>
          <w:lang w:val="en-US" w:eastAsia="zh-CN"/>
        </w:rPr>
        <w:t>风险分级标准</w:t>
      </w:r>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结合医疗生物系统运行特点及对甲方研发业务的影响，将突发事件划分为四级：</w:t>
      </w:r>
    </w:p>
    <w:tbl>
      <w:tblPr>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349"/>
        <w:gridCol w:w="5918"/>
        <w:gridCol w:w="1255"/>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349"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bdr w:val="nil"/>
                <w:lang w:val="en-US" w:eastAsia="zh-CN"/>
              </w:rPr>
              <w:t>故障级别</w:t>
            </w:r>
          </w:p>
        </w:tc>
        <w:tc>
          <w:tcPr>
            <w:tcW w:w="5917"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bdr w:val="nil"/>
                <w:lang w:val="en-US" w:eastAsia="zh-CN"/>
              </w:rPr>
              <w:t>故障特征</w:t>
            </w:r>
          </w:p>
        </w:tc>
        <w:tc>
          <w:tcPr>
            <w:tcW w:w="1255"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bdr w:val="nil"/>
                <w:lang w:val="en-US" w:eastAsia="zh-CN"/>
              </w:rPr>
              <w:t>对应SLA等级</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49"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bdr w:val="nil"/>
                <w:lang w:val="en-US" w:eastAsia="zh-CN"/>
              </w:rPr>
              <w:t>Ⅰ级（特别重大故障）</w:t>
            </w:r>
          </w:p>
        </w:tc>
        <w:tc>
          <w:tcPr>
            <w:tcW w:w="591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系统全面崩溃，导致甲方核心研发业务完全停止；大规模数据丢失或泄露；发生火灾、网络攻击等灾难性事件</w:t>
            </w:r>
          </w:p>
        </w:tc>
        <w:tc>
          <w:tcPr>
            <w:tcW w:w="125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P1</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49"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bdr w:val="nil"/>
                <w:lang w:val="en-US" w:eastAsia="zh-CN"/>
              </w:rPr>
              <w:t>Ⅱ级（重大故障）</w:t>
            </w:r>
          </w:p>
        </w:tc>
        <w:tc>
          <w:tcPr>
            <w:tcW w:w="591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系统核心模块失效，关键功能（如实验数据录入、分析处理）无法使用，严重影响研发业务正常开展；关键数据存在损坏风险</w:t>
            </w:r>
          </w:p>
        </w:tc>
        <w:tc>
          <w:tcPr>
            <w:tcW w:w="125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P1</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49"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bdr w:val="nil"/>
                <w:lang w:val="en-US" w:eastAsia="zh-CN"/>
              </w:rPr>
              <w:t>Ⅲ级（较大故障）</w:t>
            </w:r>
          </w:p>
        </w:tc>
        <w:tc>
          <w:tcPr>
            <w:tcW w:w="591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系统次要模块异常，出现频繁报错或性能严重下降，部分功能受限但不影响核心研发业务</w:t>
            </w:r>
          </w:p>
        </w:tc>
        <w:tc>
          <w:tcPr>
            <w:tcW w:w="1255"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P2</w:t>
            </w:r>
          </w:p>
        </w:tc>
      </w:tr>
      <w:tr>
        <w:tblPrEx>
          <w:tblW w:w="8522" w:type="dxa"/>
          <w:jc w:val="center"/>
          <w:shd w:val="clear" w:color="auto" w:fill="auto"/>
          <w:tblCellMar>
            <w:top w:w="15" w:type="dxa"/>
            <w:left w:w="15" w:type="dxa"/>
            <w:bottom w:w="15" w:type="dxa"/>
            <w:right w:w="15" w:type="dxa"/>
          </w:tblCellMar>
        </w:tblPrEx>
        <w:trPr>
          <w:trHeight w:val="0"/>
          <w:jc w:val="center"/>
        </w:trPr>
        <w:tc>
          <w:tcPr>
            <w:tcW w:w="1349"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bdr w:val="nil"/>
                <w:lang w:val="en-US" w:eastAsia="zh-CN"/>
              </w:rPr>
              <w:t>Ⅳ级（一般故障）</w:t>
            </w:r>
          </w:p>
        </w:tc>
        <w:tc>
          <w:tcPr>
            <w:tcW w:w="5917"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系统轻微异常，如个别非核心功能故障、操作咨询、配置调整等，完全不影响甲方研发业务</w:t>
            </w:r>
          </w:p>
        </w:tc>
        <w:tc>
          <w:tcPr>
            <w:tcW w:w="1255"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P3</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13203"/>
      <w:r>
        <w:rPr>
          <w:rFonts w:hint="default"/>
          <w:lang w:val="en-US" w:eastAsia="zh-CN"/>
        </w:rPr>
        <w:t>分级响应流程</w:t>
      </w:r>
      <w:bookmarkEnd w:id="11"/>
    </w:p>
    <w:tbl>
      <w:tblPr>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958"/>
        <w:gridCol w:w="1676"/>
        <w:gridCol w:w="1852"/>
        <w:gridCol w:w="1489"/>
        <w:gridCol w:w="2547"/>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958"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bdr w:val="nil"/>
                <w:lang w:val="en-US" w:eastAsia="zh-CN"/>
              </w:rPr>
              <w:t>故障级别</w:t>
            </w:r>
          </w:p>
        </w:tc>
        <w:tc>
          <w:tcPr>
            <w:tcW w:w="1676"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bdr w:val="nil"/>
                <w:lang w:val="en-US" w:eastAsia="zh-CN"/>
              </w:rPr>
              <w:t>启动层级</w:t>
            </w:r>
          </w:p>
        </w:tc>
        <w:tc>
          <w:tcPr>
            <w:tcW w:w="1852"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bdr w:val="nil"/>
                <w:lang w:val="en-US" w:eastAsia="zh-CN"/>
              </w:rPr>
              <w:t>响应时限</w:t>
            </w:r>
          </w:p>
        </w:tc>
        <w:tc>
          <w:tcPr>
            <w:tcW w:w="1489"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bdr w:val="nil"/>
                <w:lang w:val="en-US" w:eastAsia="zh-CN"/>
              </w:rPr>
              <w:t>处置方案提交时限</w:t>
            </w:r>
          </w:p>
        </w:tc>
        <w:tc>
          <w:tcPr>
            <w:tcW w:w="2546"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bdr w:val="nil"/>
                <w:lang w:val="en-US" w:eastAsia="zh-CN"/>
              </w:rPr>
              <w:t>关键要求</w:t>
            </w:r>
          </w:p>
        </w:tc>
      </w:tr>
      <w:tr>
        <w:tblPrEx>
          <w:tblW w:w="8522" w:type="dxa"/>
          <w:jc w:val="center"/>
          <w:shd w:val="clear" w:color="auto" w:fill="auto"/>
          <w:tblCellMar>
            <w:top w:w="15" w:type="dxa"/>
            <w:left w:w="15" w:type="dxa"/>
            <w:bottom w:w="15" w:type="dxa"/>
            <w:right w:w="15" w:type="dxa"/>
          </w:tblCellMar>
        </w:tblPrEx>
        <w:trPr>
          <w:trHeight w:val="0"/>
          <w:jc w:val="center"/>
        </w:trPr>
        <w:tc>
          <w:tcPr>
            <w:tcW w:w="958"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bdr w:val="nil"/>
                <w:lang w:val="en-US" w:eastAsia="zh-CN"/>
              </w:rPr>
              <w:t>Ⅰ级</w:t>
            </w:r>
          </w:p>
        </w:tc>
        <w:tc>
          <w:tcPr>
            <w:tcW w:w="1676"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应急指挥部总指挥</w:t>
            </w:r>
          </w:p>
        </w:tc>
        <w:tc>
          <w:tcPr>
            <w:tcW w:w="185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5分钟内响应，现场人员立即处置</w:t>
            </w:r>
          </w:p>
        </w:tc>
        <w:tc>
          <w:tcPr>
            <w:tcW w:w="148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30分钟内</w:t>
            </w:r>
          </w:p>
        </w:tc>
        <w:tc>
          <w:tcPr>
            <w:tcW w:w="254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全员投入，协调外部厂商、云服务商等全力处置</w:t>
            </w:r>
          </w:p>
        </w:tc>
      </w:tr>
      <w:tr>
        <w:tblPrEx>
          <w:tblW w:w="8522" w:type="dxa"/>
          <w:jc w:val="center"/>
          <w:shd w:val="clear" w:color="auto" w:fill="auto"/>
          <w:tblCellMar>
            <w:top w:w="15" w:type="dxa"/>
            <w:left w:w="15" w:type="dxa"/>
            <w:bottom w:w="15" w:type="dxa"/>
            <w:right w:w="15" w:type="dxa"/>
          </w:tblCellMar>
        </w:tblPrEx>
        <w:trPr>
          <w:trHeight w:val="0"/>
          <w:jc w:val="center"/>
        </w:trPr>
        <w:tc>
          <w:tcPr>
            <w:tcW w:w="958"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bdr w:val="nil"/>
                <w:lang w:val="en-US" w:eastAsia="zh-CN"/>
              </w:rPr>
              <w:t>Ⅱ级</w:t>
            </w:r>
          </w:p>
        </w:tc>
        <w:tc>
          <w:tcPr>
            <w:tcW w:w="1676"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副总指挥（运维项目经理）</w:t>
            </w:r>
          </w:p>
        </w:tc>
        <w:tc>
          <w:tcPr>
            <w:tcW w:w="185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10分钟内响应</w:t>
            </w:r>
          </w:p>
        </w:tc>
        <w:tc>
          <w:tcPr>
            <w:tcW w:w="148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40分钟内</w:t>
            </w:r>
          </w:p>
        </w:tc>
        <w:tc>
          <w:tcPr>
            <w:tcW w:w="254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技术保障组核心成员主导，必要时请求厂商技术支持</w:t>
            </w:r>
          </w:p>
        </w:tc>
      </w:tr>
      <w:tr>
        <w:tblPrEx>
          <w:tblW w:w="8522" w:type="dxa"/>
          <w:jc w:val="center"/>
          <w:shd w:val="clear" w:color="auto" w:fill="auto"/>
          <w:tblCellMar>
            <w:top w:w="15" w:type="dxa"/>
            <w:left w:w="15" w:type="dxa"/>
            <w:bottom w:w="15" w:type="dxa"/>
            <w:right w:w="15" w:type="dxa"/>
          </w:tblCellMar>
        </w:tblPrEx>
        <w:trPr>
          <w:trHeight w:val="0"/>
          <w:jc w:val="center"/>
        </w:trPr>
        <w:tc>
          <w:tcPr>
            <w:tcW w:w="958"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bdr w:val="nil"/>
                <w:lang w:val="en-US" w:eastAsia="zh-CN"/>
              </w:rPr>
              <w:t>Ⅲ级</w:t>
            </w:r>
          </w:p>
        </w:tc>
        <w:tc>
          <w:tcPr>
            <w:tcW w:w="1676"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技术保障组组长</w:t>
            </w:r>
          </w:p>
        </w:tc>
        <w:tc>
          <w:tcPr>
            <w:tcW w:w="1852"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10分钟内响应</w:t>
            </w:r>
          </w:p>
        </w:tc>
        <w:tc>
          <w:tcPr>
            <w:tcW w:w="1489"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1小时内</w:t>
            </w:r>
          </w:p>
        </w:tc>
        <w:tc>
          <w:tcPr>
            <w:tcW w:w="2546"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现场技术人员开展处置，依托内部技术资源解决</w:t>
            </w:r>
          </w:p>
        </w:tc>
      </w:tr>
      <w:tr>
        <w:tblPrEx>
          <w:tblW w:w="8522" w:type="dxa"/>
          <w:jc w:val="center"/>
          <w:shd w:val="clear" w:color="auto" w:fill="auto"/>
          <w:tblCellMar>
            <w:top w:w="15" w:type="dxa"/>
            <w:left w:w="15" w:type="dxa"/>
            <w:bottom w:w="15" w:type="dxa"/>
            <w:right w:w="15" w:type="dxa"/>
          </w:tblCellMar>
        </w:tblPrEx>
        <w:trPr>
          <w:trHeight w:val="0"/>
          <w:jc w:val="center"/>
        </w:trPr>
        <w:tc>
          <w:tcPr>
            <w:tcW w:w="958"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Style w:val="Strong"/>
                <w:rFonts w:ascii="Segoe UI" w:eastAsia="Segoe UI" w:hAnsi="Segoe UI" w:cs="Segoe UI" w:hint="default"/>
                <w:b/>
                <w:bCs/>
                <w:i w:val="0"/>
                <w:iCs w:val="0"/>
                <w:caps w:val="0"/>
                <w:snapToGrid w:val="0"/>
                <w:color w:val="000000"/>
                <w:spacing w:val="0"/>
                <w:kern w:val="0"/>
                <w:sz w:val="18"/>
                <w:szCs w:val="18"/>
                <w:bdr w:val="nil"/>
                <w:lang w:val="en-US" w:eastAsia="zh-CN"/>
              </w:rPr>
              <w:t>Ⅳ级</w:t>
            </w:r>
          </w:p>
        </w:tc>
        <w:tc>
          <w:tcPr>
            <w:tcW w:w="1676"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现场运维人员</w:t>
            </w:r>
          </w:p>
        </w:tc>
        <w:tc>
          <w:tcPr>
            <w:tcW w:w="1852"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10分钟内响应</w:t>
            </w:r>
          </w:p>
        </w:tc>
        <w:tc>
          <w:tcPr>
            <w:tcW w:w="148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widowControl/>
              <w:suppressLineNumbers w:val="0"/>
              <w:snapToGrid w:val="0"/>
              <w:spacing w:line="240" w:lineRule="auto"/>
              <w:ind w:left="0" w:right="0" w:firstLine="0" w:leftChars="0" w:rightChars="0" w:firstLineChars="0"/>
              <w:jc w:val="left"/>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30分钟内</w:t>
            </w:r>
          </w:p>
        </w:tc>
        <w:tc>
          <w:tcPr>
            <w:tcW w:w="2546"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widowControl/>
              <w:suppressLineNumbers w:val="0"/>
              <w:snapToGrid w:val="0"/>
              <w:spacing w:line="240" w:lineRule="auto"/>
              <w:ind w:left="0" w:right="0" w:firstLine="0" w:leftChars="0" w:rightChars="0" w:firstLineChars="0"/>
              <w:jc w:val="center"/>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bdr w:val="nil"/>
                <w:lang w:val="en-US" w:eastAsia="zh-CN"/>
              </w:rPr>
              <w:t>快速完成问题处理，必要时远程支持</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12433"/>
      <w:r>
        <w:rPr>
          <w:rFonts w:hint="default"/>
          <w:lang w:val="en-US" w:eastAsia="zh-CN"/>
        </w:rPr>
        <w:t>应急处置通用流程</w:t>
      </w:r>
      <w:bookmarkEnd w:id="12"/>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15281"/>
      <w:r>
        <w:rPr>
          <w:rFonts w:hint="default"/>
          <w:lang w:val="en-US" w:eastAsia="zh-CN"/>
        </w:rPr>
        <w:t>预警与上报</w:t>
      </w:r>
      <w:bookmarkEnd w:id="1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运维人员通过监控平台、日常巡检、用户反馈等渠道发现异常后，立即进行初步核查，判定故障级别。</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Ⅰ、Ⅱ级故障需在5分钟内上报应急指挥部，同时通知相关专项工作组；Ⅲ、Ⅳ级故障在10分钟内上报技术保障组组长。</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上报内容需包含：故障发生时间、地点、现象、影响范围、初步判定级别及已采取的临时措施。</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15673"/>
      <w:r>
        <w:rPr>
          <w:rFonts w:hint="default"/>
          <w:lang w:val="en-US" w:eastAsia="zh-CN"/>
        </w:rPr>
        <w:t>应急启动</w:t>
      </w:r>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应急指挥部或对应负责人接到上报后，根据故障级别下达应急启动指令，明确各工作组任务分工，同步做好信息通报工作（如告知甲方、相关厂商等）。</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5213"/>
      <w:r>
        <w:rPr>
          <w:rFonts w:hint="default"/>
          <w:lang w:val="en-US" w:eastAsia="zh-CN"/>
        </w:rPr>
        <w:t>现场处置</w:t>
      </w:r>
      <w:bookmarkEnd w:id="1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专项工作组按照指令开展协同处置，优先采取临时保障措施减少损失，如启动备用系统、隔离故障节点、切换至备用数据库等，再逐步实施根治性解决方案。处置过程中及时向指挥部汇报进展，遇突发情况随时请求支援。</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28265"/>
      <w:r>
        <w:rPr>
          <w:rFonts w:hint="default"/>
          <w:lang w:val="en-US" w:eastAsia="zh-CN"/>
        </w:rPr>
        <w:t>恢复与验收</w:t>
      </w:r>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故障处置完成后，技术保障组对系统运行状态、数据完整性、性能指标进行全面检测，确认达到恢复标准后，逐步恢复系统正常运行；信息联络组向甲方提交处置结果报告，获取甲方签字确认。</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10699"/>
      <w:r>
        <w:rPr>
          <w:rFonts w:hint="default"/>
          <w:lang w:val="en-US" w:eastAsia="zh-CN"/>
        </w:rPr>
        <w:t>应急终止</w:t>
      </w:r>
      <w:bookmarkEnd w:id="1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系统完全恢复正常运行，甲方验收通过后，应急指挥部下达应急终止指令，各工作组结束应急任务，转入日常运维状态。</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9030"/>
      <w:r>
        <w:rPr>
          <w:rFonts w:hint="default"/>
          <w:lang w:val="en-US" w:eastAsia="zh-CN"/>
        </w:rPr>
        <w:t>专项应急处置方案</w:t>
      </w:r>
      <w:bookmarkEnd w:id="18"/>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23390"/>
      <w:r>
        <w:rPr>
          <w:rFonts w:hint="default"/>
          <w:lang w:val="en-US" w:eastAsia="zh-CN"/>
        </w:rPr>
        <w:t>数据库故障</w:t>
      </w:r>
      <w:bookmarkEnd w:id="1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症状：数据库连接失败、查询超时、数据无法写入、死锁频繁等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处置步骤：</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立即尝试重启数据库服务，同时检查数据库日志定位根因；</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若无法恢复，立即切换至备用数据库（主备架构下）；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若无备用库，从最近的全量备份+增量备份中恢复数据，优先恢复核心业务表；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恢复后执行数据一致性校验，确保数据完整；</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分析故障原因（如慢SQL、连接池耗尽、磁盘满等），制定长期优化措施。</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3890"/>
      <w:r>
        <w:rPr>
          <w:rFonts w:hint="default"/>
          <w:lang w:val="en-US" w:eastAsia="zh-CN"/>
        </w:rPr>
        <w:t>应用系统功能异常</w:t>
      </w:r>
      <w:bookmarkEnd w:id="2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症状：部分模块无法使用、数据展示错误、报表生成失败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处置步骤：</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查看应用日志，定位报错代码位置；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尝试清理应用缓存、重启应用服务；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若为代码逻辑错误，联系研发团队紧急修复并发布补丁；</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若为配置错误，回滚至最近正确配置；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恢复后对受影响功能进行全面测试。</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16978"/>
      <w:r>
        <w:rPr>
          <w:rFonts w:hint="default"/>
          <w:lang w:val="en-US" w:eastAsia="zh-CN"/>
        </w:rPr>
        <w:t>网络中断</w:t>
      </w:r>
      <w:bookmarkEnd w:id="2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症状：系统无法访问、数据库连接超时、远程运维中断</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处置步骤：</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快速判定中断原因（局域网设备故障、运营商线路中断、机房断电等）；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若为局域网设备故障，立即启用备用交换机/路由器，更换故障设备；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若为运营商线路中断，立即联系运营商报修，每30分钟跟进一次进度；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若为机房断电，切换至UPS电源，联系物业/电力部门抢修；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网络恢复后，全面扫描系统端口，防止中断期间出现安全漏洞。</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21581"/>
      <w:r>
        <w:rPr>
          <w:rFonts w:hint="default"/>
          <w:lang w:val="en-US" w:eastAsia="zh-CN"/>
        </w:rPr>
        <w:t>数据安全事件</w:t>
      </w:r>
      <w:bookmarkEnd w:id="22"/>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5815"/>
      <w:r>
        <w:rPr>
          <w:rFonts w:hint="default"/>
          <w:lang w:val="en-US" w:eastAsia="zh-CN"/>
        </w:rPr>
        <w:t>数据泄露/篡改</w:t>
      </w:r>
      <w:bookmarkEnd w:id="2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症状：发现异常数据访问、数据被非法修改、勒索病毒提示</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处置步骤：</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立即隔离：切断受感染服务器网络，防止扩散；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保留证据：备份日志、病毒样本、被篡改数据，供后续溯源；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恢复数据：从最近的干净备份中恢复数据，优先恢复核心业务；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漏洞修复：排查入侵途径（弱口令、未打补丁、SQL注入等），修复漏洞；</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安全加固：修改所有密码，加强防火墙策略，部署WAF等；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事件上报：按法律法规要求，必要时上报网信办、公安网安部门。</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14102"/>
      <w:r>
        <w:rPr>
          <w:rFonts w:hint="default"/>
          <w:lang w:val="en-US" w:eastAsia="zh-CN"/>
        </w:rPr>
        <w:t>备份恢复失败</w:t>
      </w:r>
      <w:bookmarkEnd w:id="2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症状：备份文件损坏、恢复演练失败、真实故障时无法恢复</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处置步骤：</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立即尝试从其他备份介质（异地备份、云备份）恢复；</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若所有备份均不可用，启动数据重建流程（如从业务日志、第三方系统同步）；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分析失败原因（备份脚本错误、存储故障、校验机制缺失），立即修正；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恢复后增加备份验证频率（每日自动校验），确保备份可用性。</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27929"/>
      <w:r>
        <w:rPr>
          <w:rFonts w:hint="default"/>
          <w:lang w:val="en-US" w:eastAsia="zh-CN"/>
        </w:rPr>
        <w:t>网络攻击</w:t>
      </w:r>
      <w:bookmarkEnd w:id="25"/>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23519"/>
      <w:r>
        <w:rPr>
          <w:rFonts w:hint="default"/>
          <w:lang w:val="en-US" w:eastAsia="zh-CN"/>
        </w:rPr>
        <w:t>DDoS/CC攻击</w:t>
      </w:r>
      <w:bookmarkEnd w:id="2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症状：系统响应极慢、大量异常请求、带宽占满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处置步骤：</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联系IDC/云服务商启用流量清洗、黑洞路由；</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分析攻击特征，配置防火墙/WAF拦截恶意IP；</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若攻击持续，临时切换至备用IP或高防IP；</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攻击结束后分析日志，溯源攻击源，加固防护策略。</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6794"/>
      <w:r>
        <w:rPr>
          <w:rFonts w:hint="default"/>
          <w:lang w:val="en-US" w:eastAsia="zh-CN"/>
        </w:rPr>
        <w:t>勒索病毒/蠕虫</w:t>
      </w:r>
      <w:bookmarkEnd w:id="2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症状：文件被加密、系统弹出勒索信息、病毒横向扩散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处置步骤：</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立即断网：隔离感染主机，拔掉网线；</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保留中毒现场，联系安全厂商分析病毒样本；</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不支付赎金，从干净备份中恢复数据；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全盘查杀，修补漏洞，修改所有密码；</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加强终端安全防护，部署EDR、杀毒软件。</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8" w:name="_Toc17727"/>
      <w:r>
        <w:rPr>
          <w:rFonts w:hint="default"/>
          <w:lang w:val="en-US" w:eastAsia="zh-CN"/>
        </w:rPr>
        <w:t>应急保障</w:t>
      </w:r>
      <w:bookmarkEnd w:id="28"/>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9" w:name="_Toc14832"/>
      <w:r>
        <w:rPr>
          <w:rFonts w:hint="default"/>
          <w:lang w:val="en-US" w:eastAsia="zh-CN"/>
        </w:rPr>
        <w:t>人员保障</w:t>
      </w:r>
      <w:bookmarkEnd w:id="2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组建应急后备人才库，涵盖系统、数据库、网络、安全等多个领域的专业技术人员，定期开展应急技能培训与考核；每年组织不少于2次的应急演练，提升团队协同处置能力。</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0" w:name="_Toc17055"/>
      <w:r>
        <w:rPr>
          <w:rFonts w:hint="default"/>
          <w:lang w:val="en-US" w:eastAsia="zh-CN"/>
        </w:rPr>
        <w:t>物资保障</w:t>
      </w:r>
      <w:bookmarkEnd w:id="3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建立应急物资库房，储备备用服务器、备用交换机、备用硬盘、UPS电源、灭火器材、应急照明等物资，制定物资台账，明确保管责任人，每月盘点一次，及时补充短缺物资；同时与设备厂商、云服务商签订应急供货/支持协议。</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1" w:name="_Toc25789"/>
      <w:r>
        <w:rPr>
          <w:rFonts w:hint="default"/>
          <w:lang w:val="en-US" w:eastAsia="zh-CN"/>
        </w:rPr>
        <w:t>技术保障</w:t>
      </w:r>
      <w:bookmarkEnd w:id="3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搭建系统备用环境与数据备份体系，核心数据采用“本地备份 + 异地云备份”双重模式，每日自动备份，每周校验备份数据完整性；建立技术知识库，汇总常见故障处置方案、厂商技术手册等资料，方便运维人员快速查阅。</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2" w:name="_Toc14480"/>
      <w:r>
        <w:rPr>
          <w:rFonts w:hint="default"/>
          <w:lang w:val="en-US" w:eastAsia="zh-CN"/>
        </w:rPr>
        <w:t>通讯保障</w:t>
      </w:r>
      <w:bookmarkEnd w:id="3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制定应急通讯联络表，明确应急指挥部、各工作组、甲方单位、设备厂商、云服务商、安全厂商等单位的联系方式，确保24小时畅通；配备应急通讯设备（如对讲机），应对极端情况下的通讯中断问题。</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3" w:name="_Toc642"/>
      <w:r>
        <w:rPr>
          <w:rFonts w:hint="default"/>
          <w:lang w:val="en-US" w:eastAsia="zh-CN"/>
        </w:rPr>
        <w:t>预案管理</w:t>
      </w:r>
      <w:bookmarkEnd w:id="33"/>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4" w:name="_Toc14489"/>
      <w:r>
        <w:rPr>
          <w:rFonts w:hint="default"/>
          <w:lang w:val="en-US" w:eastAsia="zh-CN"/>
        </w:rPr>
        <w:t>预案培训</w:t>
      </w:r>
      <w:bookmarkEnd w:id="3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将本预案纳入运维人员岗前培训与在岗培训内容，确保每位相关人员熟练掌握应急流程、岗位职责与处置方法，培训记录存档备查。</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5" w:name="_Toc28155"/>
      <w:r>
        <w:rPr>
          <w:rFonts w:hint="default"/>
          <w:lang w:val="en-US" w:eastAsia="zh-CN"/>
        </w:rPr>
        <w:t>预案演练</w:t>
      </w:r>
      <w:bookmarkEnd w:id="3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每年组织1-2次综合性应急演练，针对高频故障场景（如数据库崩溃、网络中断、勒索病毒等）开展专项演练，演练后形成评估报告，总结经验不足，优化预案内容。</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6" w:name="_Toc19603"/>
      <w:r>
        <w:rPr>
          <w:rFonts w:hint="default"/>
          <w:lang w:val="en-US" w:eastAsia="zh-CN"/>
        </w:rPr>
        <w:t>预案修订</w:t>
      </w:r>
      <w:bookmarkEnd w:id="3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本预案每年修订一次，若遇系统重大升级、法规标准更新等情况，及时进行动态修订，修订后经审批发布实施。</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7" w:name="_Toc25470"/>
      <w:r>
        <w:rPr>
          <w:rFonts w:hint="default"/>
          <w:lang w:val="en-US" w:eastAsia="zh-CN"/>
        </w:rPr>
        <w:t>复盘总结</w:t>
      </w:r>
      <w:bookmarkEnd w:id="3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每起应急事件处置完成后，5个工作日内开展复盘会议，分析事件起因、处置过程中的问题与不足，形成复盘报告，提出改进措施并跟踪落实。</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8" w:name="_Toc14805"/>
      <w:r>
        <w:rPr>
          <w:rFonts w:hint="default"/>
          <w:lang w:val="en-US" w:eastAsia="zh-CN"/>
        </w:rPr>
        <w:t>附件</w:t>
      </w:r>
      <w:bookmarkEnd w:id="3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应急组织架构人员联络表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应急物资清单及存放位置表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外部协作单位（厂商/云服务商/安全厂商）联系方式表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应急处置过程记录表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应急演练评估表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系统备份与恢复操作手册</w:t>
      </w:r>
    </w:p>
    <w:sectPr>
      <w:headerReference w:type="default" r:id="rId6"/>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肇庆市天鹰生物科技有限公司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link w:val="3Char"/>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character" w:customStyle="1" w:styleId="3Char">
    <w:name w:val="柴_标题3 Char"/>
    <w:link w:val="3"/>
    <w:qFormat/>
    <w:rPr>
      <w:rFonts w:ascii="宋体" w:eastAsia="宋体" w:hAnsi="宋体" w:cs="宋体"/>
      <w:spacing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12</Pages>
  <Words>2345</Words>
  <Characters>2488</Characters>
  <Application>Microsoft Office Word</Application>
  <DocSecurity>0</DocSecurity>
  <Lines>0</Lines>
  <Paragraphs>0</Paragraphs>
  <ScaleCrop>false</ScaleCrop>
  <Company/>
  <LinksUpToDate>false</LinksUpToDate>
  <CharactersWithSpaces>2586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2026-03-21T05:25:26Z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