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7755"/>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pPr>
        <w:keepNext w:val="0"/>
        <w:keepLines w:val="0"/>
        <w:pageBreakBefore w:val="0"/>
        <w:widowControl w:val="0"/>
        <w:suppressLineNumbers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黑体" w:eastAsia="黑体" w:hAnsi="黑体" w:cs="黑体" w:hint="default"/>
          <w:b/>
          <w:bCs/>
          <w:snapToGrid w:val="0"/>
          <w:color w:val="000000"/>
          <w:spacing w:val="-7"/>
          <w:kern w:val="0"/>
          <w:sz w:val="52"/>
          <w:szCs w:val="52"/>
          <w:lang w:val="en-US" w:eastAsia="zh-CN" w:bidi="ar-SA"/>
        </w:rPr>
      </w:pPr>
      <w:r>
        <w:rPr>
          <w:rFonts w:ascii="黑体" w:eastAsia="黑体" w:hAnsi="黑体" w:cs="黑体" w:hint="default"/>
          <w:b/>
          <w:bCs/>
          <w:snapToGrid w:val="0"/>
          <w:color w:val="000000"/>
          <w:spacing w:val="-7"/>
          <w:kern w:val="0"/>
          <w:sz w:val="52"/>
          <w:szCs w:val="52"/>
          <w:lang w:val="en-US" w:eastAsia="zh-CN" w:bidi="ar-SA"/>
        </w:rPr>
        <w:t>西安国豪生物科技有限公司生物工程技术研发试验分析系统运维服务项目</w:t>
      </w:r>
      <w:r>
        <w:rPr>
          <w:rFonts w:ascii="黑体" w:eastAsia="黑体" w:hAnsi="黑体" w:cs="黑体" w:hint="eastAsia"/>
          <w:b/>
          <w:bCs/>
          <w:snapToGrid w:val="0"/>
          <w:color w:val="000000"/>
          <w:spacing w:val="-7"/>
          <w:kern w:val="0"/>
          <w:sz w:val="52"/>
          <w:szCs w:val="52"/>
          <w:lang w:val="en-US" w:eastAsia="zh-CN" w:bidi="ar-SA"/>
        </w:rPr>
        <w:t>-应急演练计划</w:t>
      </w:r>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TYSW</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10</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2025.12.12</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2025.12.12</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吴智锋</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2025.12.12</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w:t>
            </w:r>
            <w:r>
              <w:rPr>
                <w:rFonts w:ascii="宋体" w:hAnsi="宋体" w:cs="宋体" w:hint="eastAsia"/>
                <w:spacing w:val="3"/>
                <w:position w:val="1"/>
                <w:sz w:val="20"/>
                <w:szCs w:val="20"/>
                <w:lang w:val="en-US" w:eastAsia="zh-CN"/>
              </w:rPr>
              <w:t>12</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12</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吴智锋</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_Toc27755 </w:instrText>
          </w:r>
          <w:r>
            <w:rPr>
              <w:rFonts w:ascii="宋体" w:eastAsia="宋体" w:hAnsi="宋体" w:cs="宋体" w:hint="eastAsia"/>
              <w:szCs w:val="24"/>
            </w:rPr>
            <w:fldChar w:fldCharType="separate"/>
          </w:r>
          <w:r>
            <w:rPr>
              <w:rFonts w:hint="eastAsia"/>
              <w:lang w:val="en-US" w:eastAsia="zh-CN"/>
            </w:rPr>
            <w:t>肇庆市天鹰生物科技有限公司</w:t>
          </w:r>
          <w:r>
            <w:tab/>
          </w:r>
          <w:r>
            <w:fldChar w:fldCharType="begin"/>
          </w:r>
          <w:r>
            <w:instrText xml:space="preserve"> PAGEREF _Toc27755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_Toc31711 </w:instrText>
          </w:r>
          <w:r>
            <w:rPr>
              <w:rFonts w:ascii="宋体" w:eastAsia="宋体" w:hAnsi="宋体" w:cs="宋体" w:hint="eastAsia"/>
              <w:szCs w:val="24"/>
            </w:rPr>
            <w:fldChar w:fldCharType="separate"/>
          </w:r>
          <w:r>
            <w:rPr>
              <w:rFonts w:hint="default"/>
              <w:lang w:val="en-US" w:eastAsia="zh-CN"/>
            </w:rPr>
            <w:t>1. 演练基本信息</w:t>
          </w:r>
          <w:r>
            <w:tab/>
          </w:r>
          <w:r>
            <w:fldChar w:fldCharType="begin"/>
          </w:r>
          <w:r>
            <w:instrText xml:space="preserve"> PAGEREF _Toc31711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_Toc19193 </w:instrText>
          </w:r>
          <w:r>
            <w:rPr>
              <w:rFonts w:ascii="宋体" w:eastAsia="宋体" w:hAnsi="宋体" w:cs="宋体" w:hint="eastAsia"/>
              <w:szCs w:val="24"/>
            </w:rPr>
            <w:fldChar w:fldCharType="separate"/>
          </w:r>
          <w:r>
            <w:rPr>
              <w:rFonts w:hint="default"/>
              <w:lang w:val="en-US" w:eastAsia="zh-CN"/>
            </w:rPr>
            <w:t>2. 演练目标</w:t>
          </w:r>
          <w:r>
            <w:tab/>
          </w:r>
          <w:r>
            <w:fldChar w:fldCharType="begin"/>
          </w:r>
          <w:r>
            <w:instrText xml:space="preserve"> PAGEREF _Toc19193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_Toc957 </w:instrText>
          </w:r>
          <w:r>
            <w:rPr>
              <w:rFonts w:ascii="宋体" w:eastAsia="宋体" w:hAnsi="宋体" w:cs="宋体" w:hint="eastAsia"/>
              <w:szCs w:val="24"/>
            </w:rPr>
            <w:fldChar w:fldCharType="separate"/>
          </w:r>
          <w:r>
            <w:rPr>
              <w:rFonts w:hint="default"/>
              <w:lang w:val="en-US" w:eastAsia="zh-CN"/>
            </w:rPr>
            <w:t>3. 演练场景</w:t>
          </w:r>
          <w:r>
            <w:tab/>
          </w:r>
          <w:r>
            <w:fldChar w:fldCharType="begin"/>
          </w:r>
          <w:r>
            <w:instrText xml:space="preserve"> PAGEREF _Toc957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_Toc19435 </w:instrText>
          </w:r>
          <w:r>
            <w:rPr>
              <w:rFonts w:ascii="宋体" w:eastAsia="宋体" w:hAnsi="宋体" w:cs="宋体" w:hint="eastAsia"/>
              <w:szCs w:val="24"/>
            </w:rPr>
            <w:fldChar w:fldCharType="separate"/>
          </w:r>
          <w:r>
            <w:rPr>
              <w:rFonts w:hint="default"/>
              <w:lang w:val="en-US" w:eastAsia="zh-CN"/>
            </w:rPr>
            <w:t>3.1. 场景一：核心数据库服务崩溃（Ⅱ级重大故障）</w:t>
          </w:r>
          <w:r>
            <w:tab/>
          </w:r>
          <w:r>
            <w:fldChar w:fldCharType="begin"/>
          </w:r>
          <w:r>
            <w:instrText xml:space="preserve"> PAGEREF _Toc19435 \h </w:instrText>
          </w:r>
          <w:r>
            <w:fldChar w:fldCharType="separate"/>
          </w:r>
          <w:r>
            <w:t>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_Toc11742 </w:instrText>
          </w:r>
          <w:r>
            <w:rPr>
              <w:rFonts w:ascii="宋体" w:eastAsia="宋体" w:hAnsi="宋体" w:cs="宋体" w:hint="eastAsia"/>
              <w:szCs w:val="24"/>
            </w:rPr>
            <w:fldChar w:fldCharType="separate"/>
          </w:r>
          <w:r>
            <w:rPr>
              <w:rFonts w:hint="default"/>
              <w:lang w:val="en-US" w:eastAsia="zh-CN"/>
            </w:rPr>
            <w:t>3.1.1. 故障描述</w:t>
          </w:r>
          <w:r>
            <w:tab/>
          </w:r>
          <w:r>
            <w:fldChar w:fldCharType="begin"/>
          </w:r>
          <w:r>
            <w:instrText xml:space="preserve"> PAGEREF _Toc11742 \h </w:instrText>
          </w:r>
          <w:r>
            <w:fldChar w:fldCharType="separate"/>
          </w:r>
          <w:r>
            <w:t>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_Toc25279 </w:instrText>
          </w:r>
          <w:r>
            <w:rPr>
              <w:rFonts w:ascii="宋体" w:eastAsia="宋体" w:hAnsi="宋体" w:cs="宋体" w:hint="eastAsia"/>
              <w:szCs w:val="24"/>
            </w:rPr>
            <w:fldChar w:fldCharType="separate"/>
          </w:r>
          <w:r>
            <w:rPr>
              <w:rFonts w:hint="default"/>
              <w:lang w:val="en-US" w:eastAsia="zh-CN"/>
            </w:rPr>
            <w:t>3.1.2. 演练目标</w:t>
          </w:r>
          <w:r>
            <w:tab/>
          </w:r>
          <w:r>
            <w:fldChar w:fldCharType="begin"/>
          </w:r>
          <w:r>
            <w:instrText xml:space="preserve"> PAGEREF _Toc25279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_Toc21855 </w:instrText>
          </w:r>
          <w:r>
            <w:rPr>
              <w:rFonts w:ascii="宋体" w:eastAsia="宋体" w:hAnsi="宋体" w:cs="宋体" w:hint="eastAsia"/>
              <w:szCs w:val="24"/>
            </w:rPr>
            <w:fldChar w:fldCharType="separate"/>
          </w:r>
          <w:r>
            <w:rPr>
              <w:rFonts w:hint="default"/>
              <w:lang w:val="en-US" w:eastAsia="zh-CN"/>
            </w:rPr>
            <w:t>3.1.3. 涉及服务内容</w:t>
          </w:r>
          <w:r>
            <w:tab/>
          </w:r>
          <w:r>
            <w:fldChar w:fldCharType="begin"/>
          </w:r>
          <w:r>
            <w:instrText xml:space="preserve"> PAGEREF _Toc21855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_Toc9575 </w:instrText>
          </w:r>
          <w:r>
            <w:rPr>
              <w:rFonts w:ascii="宋体" w:eastAsia="宋体" w:hAnsi="宋体" w:cs="宋体" w:hint="eastAsia"/>
              <w:szCs w:val="24"/>
            </w:rPr>
            <w:fldChar w:fldCharType="separate"/>
          </w:r>
          <w:r>
            <w:rPr>
              <w:rFonts w:hint="default"/>
              <w:lang w:val="en-US" w:eastAsia="zh-CN"/>
            </w:rPr>
            <w:t>3.2. 场景二：勒索病毒攻击（Ⅰ级特别重大故障）</w:t>
          </w:r>
          <w:r>
            <w:tab/>
          </w:r>
          <w:r>
            <w:fldChar w:fldCharType="begin"/>
          </w:r>
          <w:r>
            <w:instrText xml:space="preserve"> PAGEREF _Toc9575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_Toc27275 </w:instrText>
          </w:r>
          <w:r>
            <w:rPr>
              <w:rFonts w:ascii="宋体" w:eastAsia="宋体" w:hAnsi="宋体" w:cs="宋体" w:hint="eastAsia"/>
              <w:szCs w:val="24"/>
            </w:rPr>
            <w:fldChar w:fldCharType="separate"/>
          </w:r>
          <w:r>
            <w:rPr>
              <w:rFonts w:hint="default"/>
              <w:lang w:val="en-US" w:eastAsia="zh-CN"/>
            </w:rPr>
            <w:t>3.2.1. 故障描述</w:t>
          </w:r>
          <w:r>
            <w:tab/>
          </w:r>
          <w:r>
            <w:fldChar w:fldCharType="begin"/>
          </w:r>
          <w:r>
            <w:instrText xml:space="preserve"> PAGEREF _Toc27275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_Toc13465 </w:instrText>
          </w:r>
          <w:r>
            <w:rPr>
              <w:rFonts w:ascii="宋体" w:eastAsia="宋体" w:hAnsi="宋体" w:cs="宋体" w:hint="eastAsia"/>
              <w:szCs w:val="24"/>
            </w:rPr>
            <w:fldChar w:fldCharType="separate"/>
          </w:r>
          <w:r>
            <w:rPr>
              <w:rFonts w:hint="default"/>
              <w:lang w:val="en-US" w:eastAsia="zh-CN"/>
            </w:rPr>
            <w:t>3.2.2. 演练目标</w:t>
          </w:r>
          <w:r>
            <w:tab/>
          </w:r>
          <w:r>
            <w:fldChar w:fldCharType="begin"/>
          </w:r>
          <w:r>
            <w:instrText xml:space="preserve"> PAGEREF _Toc13465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_Toc7791 </w:instrText>
          </w:r>
          <w:r>
            <w:rPr>
              <w:rFonts w:ascii="宋体" w:eastAsia="宋体" w:hAnsi="宋体" w:cs="宋体" w:hint="eastAsia"/>
              <w:szCs w:val="24"/>
            </w:rPr>
            <w:fldChar w:fldCharType="separate"/>
          </w:r>
          <w:r>
            <w:rPr>
              <w:rFonts w:hint="default"/>
              <w:lang w:val="en-US" w:eastAsia="zh-CN"/>
            </w:rPr>
            <w:t>3.2.3. 涉及服务内容</w:t>
          </w:r>
          <w:r>
            <w:tab/>
          </w:r>
          <w:r>
            <w:fldChar w:fldCharType="begin"/>
          </w:r>
          <w:r>
            <w:instrText xml:space="preserve"> PAGEREF _Toc7791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_Toc2970 </w:instrText>
          </w:r>
          <w:r>
            <w:rPr>
              <w:rFonts w:ascii="宋体" w:eastAsia="宋体" w:hAnsi="宋体" w:cs="宋体" w:hint="eastAsia"/>
              <w:szCs w:val="24"/>
            </w:rPr>
            <w:fldChar w:fldCharType="separate"/>
          </w:r>
          <w:r>
            <w:rPr>
              <w:rFonts w:hint="default"/>
              <w:lang w:val="en-US" w:eastAsia="zh-CN"/>
            </w:rPr>
            <w:t>3.3. 场景三：网络设备故障导致系统访问中断（Ⅱ级重大故障）</w:t>
          </w:r>
          <w:r>
            <w:tab/>
          </w:r>
          <w:r>
            <w:fldChar w:fldCharType="begin"/>
          </w:r>
          <w:r>
            <w:instrText xml:space="preserve"> PAGEREF _Toc2970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_Toc31745 </w:instrText>
          </w:r>
          <w:r>
            <w:rPr>
              <w:rFonts w:ascii="宋体" w:eastAsia="宋体" w:hAnsi="宋体" w:cs="宋体" w:hint="eastAsia"/>
              <w:szCs w:val="24"/>
            </w:rPr>
            <w:fldChar w:fldCharType="separate"/>
          </w:r>
          <w:r>
            <w:rPr>
              <w:rFonts w:hint="default"/>
              <w:lang w:val="en-US" w:eastAsia="zh-CN"/>
            </w:rPr>
            <w:t>3.3.1. 故障描述</w:t>
          </w:r>
          <w:r>
            <w:tab/>
          </w:r>
          <w:r>
            <w:fldChar w:fldCharType="begin"/>
          </w:r>
          <w:r>
            <w:instrText xml:space="preserve"> PAGEREF _Toc31745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_Toc6981 </w:instrText>
          </w:r>
          <w:r>
            <w:rPr>
              <w:rFonts w:ascii="宋体" w:eastAsia="宋体" w:hAnsi="宋体" w:cs="宋体" w:hint="eastAsia"/>
              <w:szCs w:val="24"/>
            </w:rPr>
            <w:fldChar w:fldCharType="separate"/>
          </w:r>
          <w:r>
            <w:rPr>
              <w:rFonts w:hint="default"/>
              <w:lang w:val="en-US" w:eastAsia="zh-CN"/>
            </w:rPr>
            <w:t>3.3.2. 演练目标</w:t>
          </w:r>
          <w:r>
            <w:tab/>
          </w:r>
          <w:r>
            <w:fldChar w:fldCharType="begin"/>
          </w:r>
          <w:r>
            <w:instrText xml:space="preserve"> PAGEREF _Toc6981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_Toc25474 </w:instrText>
          </w:r>
          <w:r>
            <w:rPr>
              <w:rFonts w:ascii="宋体" w:eastAsia="宋体" w:hAnsi="宋体" w:cs="宋体" w:hint="eastAsia"/>
              <w:szCs w:val="24"/>
            </w:rPr>
            <w:fldChar w:fldCharType="separate"/>
          </w:r>
          <w:r>
            <w:rPr>
              <w:rFonts w:hint="default"/>
              <w:lang w:val="en-US" w:eastAsia="zh-CN"/>
            </w:rPr>
            <w:t>3.3.3. 涉及服务内容</w:t>
          </w:r>
          <w:r>
            <w:tab/>
          </w:r>
          <w:r>
            <w:fldChar w:fldCharType="begin"/>
          </w:r>
          <w:r>
            <w:instrText xml:space="preserve"> PAGEREF _Toc25474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_Toc29277 </w:instrText>
          </w:r>
          <w:r>
            <w:rPr>
              <w:rFonts w:ascii="宋体" w:eastAsia="宋体" w:hAnsi="宋体" w:cs="宋体" w:hint="eastAsia"/>
              <w:szCs w:val="24"/>
            </w:rPr>
            <w:fldChar w:fldCharType="separate"/>
          </w:r>
          <w:r>
            <w:rPr>
              <w:rFonts w:hint="default"/>
              <w:lang w:val="en-US" w:eastAsia="zh-CN"/>
            </w:rPr>
            <w:t>4. 演练组织与角色</w:t>
          </w:r>
          <w:r>
            <w:tab/>
          </w:r>
          <w:r>
            <w:fldChar w:fldCharType="begin"/>
          </w:r>
          <w:r>
            <w:instrText xml:space="preserve"> PAGEREF _Toc29277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_Toc16908 </w:instrText>
          </w:r>
          <w:r>
            <w:rPr>
              <w:rFonts w:ascii="宋体" w:eastAsia="宋体" w:hAnsi="宋体" w:cs="宋体" w:hint="eastAsia"/>
              <w:szCs w:val="24"/>
            </w:rPr>
            <w:fldChar w:fldCharType="separate"/>
          </w:r>
          <w:r>
            <w:rPr>
              <w:rFonts w:hint="default"/>
              <w:lang w:val="en-US" w:eastAsia="zh-CN"/>
            </w:rPr>
            <w:t>5. 演练阶段安排</w:t>
          </w:r>
          <w:r>
            <w:tab/>
          </w:r>
          <w:r>
            <w:fldChar w:fldCharType="begin"/>
          </w:r>
          <w:r>
            <w:instrText xml:space="preserve"> PAGEREF _Toc16908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_Toc1391 </w:instrText>
          </w:r>
          <w:r>
            <w:rPr>
              <w:rFonts w:ascii="宋体" w:eastAsia="宋体" w:hAnsi="宋体" w:cs="宋体" w:hint="eastAsia"/>
              <w:szCs w:val="24"/>
            </w:rPr>
            <w:fldChar w:fldCharType="separate"/>
          </w:r>
          <w:r>
            <w:rPr>
              <w:rFonts w:hint="default"/>
              <w:lang w:val="en-US" w:eastAsia="zh-CN"/>
            </w:rPr>
            <w:t>5.1. 准备与启动 (13:30 - 14:00)</w:t>
          </w:r>
          <w:r>
            <w:tab/>
          </w:r>
          <w:r>
            <w:fldChar w:fldCharType="begin"/>
          </w:r>
          <w:r>
            <w:instrText xml:space="preserve"> PAGEREF _Toc1391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_Toc28261 </w:instrText>
          </w:r>
          <w:r>
            <w:rPr>
              <w:rFonts w:ascii="宋体" w:eastAsia="宋体" w:hAnsi="宋体" w:cs="宋体" w:hint="eastAsia"/>
              <w:szCs w:val="24"/>
            </w:rPr>
            <w:fldChar w:fldCharType="separate"/>
          </w:r>
          <w:r>
            <w:rPr>
              <w:rFonts w:hint="default"/>
              <w:lang w:val="en-US" w:eastAsia="zh-CN"/>
            </w:rPr>
            <w:t>5.2. 故障注入与应急响应 (14:00 - 16:30)</w:t>
          </w:r>
          <w:r>
            <w:tab/>
          </w:r>
          <w:r>
            <w:fldChar w:fldCharType="begin"/>
          </w:r>
          <w:r>
            <w:instrText xml:space="preserve"> PAGEREF _Toc28261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_Toc31443 </w:instrText>
          </w:r>
          <w:r>
            <w:rPr>
              <w:rFonts w:ascii="宋体" w:eastAsia="宋体" w:hAnsi="宋体" w:cs="宋体" w:hint="eastAsia"/>
              <w:szCs w:val="24"/>
            </w:rPr>
            <w:fldChar w:fldCharType="separate"/>
          </w:r>
          <w:r>
            <w:rPr>
              <w:rFonts w:hint="default"/>
              <w:lang w:val="en-US" w:eastAsia="zh-CN"/>
            </w:rPr>
            <w:t>5.3. 总结与复盘 (16:30 - 17:00)</w:t>
          </w:r>
          <w:r>
            <w:tab/>
          </w:r>
          <w:r>
            <w:fldChar w:fldCharType="begin"/>
          </w:r>
          <w:r>
            <w:instrText xml:space="preserve"> PAGEREF _Toc31443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_Toc7565 </w:instrText>
          </w:r>
          <w:r>
            <w:rPr>
              <w:rFonts w:ascii="宋体" w:eastAsia="宋体" w:hAnsi="宋体" w:cs="宋体" w:hint="eastAsia"/>
              <w:szCs w:val="24"/>
            </w:rPr>
            <w:fldChar w:fldCharType="separate"/>
          </w:r>
          <w:r>
            <w:rPr>
              <w:rFonts w:hint="default"/>
              <w:lang w:val="en-US" w:eastAsia="zh-CN"/>
            </w:rPr>
            <w:t>6. 演练评估与总结</w:t>
          </w:r>
          <w:r>
            <w:tab/>
          </w:r>
          <w:r>
            <w:fldChar w:fldCharType="begin"/>
          </w:r>
          <w:r>
            <w:instrText xml:space="preserve"> PAGEREF _Toc7565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_Toc17282 </w:instrText>
          </w:r>
          <w:r>
            <w:rPr>
              <w:rFonts w:ascii="宋体" w:eastAsia="宋体" w:hAnsi="宋体" w:cs="宋体" w:hint="eastAsia"/>
              <w:szCs w:val="24"/>
            </w:rPr>
            <w:fldChar w:fldCharType="separate"/>
          </w:r>
          <w:r>
            <w:rPr>
              <w:rFonts w:hint="default"/>
              <w:lang w:val="en-US" w:eastAsia="zh-CN"/>
            </w:rPr>
            <w:t>7. 注意事项</w:t>
          </w:r>
          <w:r>
            <w:tab/>
          </w:r>
          <w:r>
            <w:fldChar w:fldCharType="begin"/>
          </w:r>
          <w:r>
            <w:instrText xml:space="preserve"> PAGEREF _Toc17282 \h </w:instrText>
          </w:r>
          <w:r>
            <w:fldChar w:fldCharType="separate"/>
          </w:r>
          <w:r>
            <w:t>8</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default"/>
          <w:lang w:val="en-US" w:eastAsia="zh-CN"/>
        </w:rPr>
      </w:pPr>
      <w:bookmarkStart w:id="1" w:name="_Toc31711"/>
      <w:r>
        <w:rPr>
          <w:rFonts w:hint="default"/>
          <w:lang w:val="en-US" w:eastAsia="zh-CN"/>
        </w:rPr>
        <w:t>演练基本信息</w:t>
      </w:r>
      <w:bookmarkEnd w:id="1"/>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63"/>
        <w:gridCol w:w="7132"/>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w:t>
            </w:r>
          </w:p>
        </w:tc>
        <w:tc>
          <w:tcPr>
            <w:tcW w:w="713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预案名称</w:t>
            </w:r>
          </w:p>
        </w:tc>
        <w:tc>
          <w:tcPr>
            <w:tcW w:w="713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西安国豪生物科技有限公司生物工程技术研发试验分析系统运维服务项目应急预案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演练类别</w:t>
            </w:r>
          </w:p>
        </w:tc>
        <w:tc>
          <w:tcPr>
            <w:tcW w:w="713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☑现场处置演练 ☑实战演练 □桌面演练 □专项演练</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预计演练时间</w:t>
            </w:r>
          </w:p>
        </w:tc>
        <w:tc>
          <w:tcPr>
            <w:tcW w:w="713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2025年 12 月 15 日 9:00 至 11:00</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演练地点</w:t>
            </w:r>
          </w:p>
        </w:tc>
        <w:tc>
          <w:tcPr>
            <w:tcW w:w="713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西安国豪生物科技有限公司研发中心机房及运维值班室</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经费预算</w:t>
            </w:r>
          </w:p>
        </w:tc>
        <w:tc>
          <w:tcPr>
            <w:tcW w:w="713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1万元</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组织单位</w:t>
            </w:r>
          </w:p>
        </w:tc>
        <w:tc>
          <w:tcPr>
            <w:tcW w:w="713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肇庆市天鹰生物科技有限公司运维部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136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参加单位</w:t>
            </w:r>
          </w:p>
        </w:tc>
        <w:tc>
          <w:tcPr>
            <w:tcW w:w="713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西安国豪生物科技有限公司信息中心、肇庆市天鹰生物科技有限公司运维团队</w:t>
            </w:r>
          </w:p>
        </w:tc>
      </w:tr>
    </w:tbl>
    <w:p>
      <w:pPr>
        <w:pStyle w:val="1"/>
        <w:bidi w:val="0"/>
        <w:rPr>
          <w:rFonts w:hint="default"/>
          <w:lang w:val="en-US" w:eastAsia="zh-CN"/>
        </w:rPr>
      </w:pPr>
      <w:bookmarkStart w:id="2" w:name="_Toc19193"/>
      <w:r>
        <w:rPr>
          <w:rFonts w:hint="default"/>
          <w:lang w:val="en-US" w:eastAsia="zh-CN"/>
        </w:rPr>
        <w:t>演练目标</w:t>
      </w:r>
      <w:bookmarkEnd w:id="2"/>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验证应急预案可行性：检验《运维服务应急预案》（TYSW-10-03）的完整性、可操作性和有效性，确保预案内容与实际运维场景匹配。</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检验应急响应能力：评估应急组织架构各小组（技术保障组、现场抢险组、信息联络组、后勤支持组）在突发故障时的协同响应能力。</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提升实战处置技能：针对医疗生物系统典型故障场景（数据库故障、网络中断、安全攻击），锻炼运维团队的故障诊断、应急处置和系统恢复能力。</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发现薄弱环节：通过演练暴露应急预案及应急准备中的不足，为后续优化提供依据。</w:t>
      </w:r>
    </w:p>
    <w:p>
      <w:pPr>
        <w:pStyle w:val="1"/>
        <w:bidi w:val="0"/>
        <w:rPr>
          <w:rFonts w:hint="default"/>
          <w:lang w:val="en-US" w:eastAsia="zh-CN"/>
        </w:rPr>
      </w:pPr>
      <w:bookmarkStart w:id="3" w:name="_Toc957"/>
      <w:r>
        <w:rPr>
          <w:rFonts w:hint="default"/>
          <w:lang w:val="en-US" w:eastAsia="zh-CN"/>
        </w:rPr>
        <w:t>演练场景</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根据项目实际运维内容，设置以下三个典型应急场景：</w:t>
      </w:r>
    </w:p>
    <w:p>
      <w:pPr>
        <w:pStyle w:val="2"/>
        <w:bidi w:val="0"/>
        <w:rPr>
          <w:rFonts w:hint="default"/>
          <w:lang w:val="en-US" w:eastAsia="zh-CN"/>
        </w:rPr>
      </w:pPr>
      <w:bookmarkStart w:id="4" w:name="_Toc19435"/>
      <w:r>
        <w:rPr>
          <w:rFonts w:hint="default"/>
          <w:lang w:val="en-US" w:eastAsia="zh-CN"/>
        </w:rPr>
        <w:t>场景一：核心数据库服务崩溃（Ⅱ级重大故障）</w:t>
      </w:r>
      <w:bookmarkEnd w:id="4"/>
    </w:p>
    <w:p>
      <w:pPr>
        <w:pStyle w:val="3"/>
        <w:bidi w:val="0"/>
        <w:rPr>
          <w:rFonts w:hint="default"/>
          <w:lang w:val="en-US" w:eastAsia="zh-CN"/>
        </w:rPr>
      </w:pPr>
      <w:bookmarkStart w:id="5" w:name="_Toc11742"/>
      <w:r>
        <w:rPr>
          <w:rFonts w:hint="default"/>
          <w:lang w:val="en-US" w:eastAsia="zh-CN"/>
        </w:rPr>
        <w:t>故障描述</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模拟生物工程技术研发试验分析系统的MySQL数据库服务突然停止，导致所有研发人员无法登录系统、无法查询实验数据。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该故障直接影响客户核心研发业务，符合合同约定的“系统不可用”情形。</w:t>
      </w:r>
    </w:p>
    <w:p>
      <w:pPr>
        <w:pStyle w:val="3"/>
        <w:bidi w:val="0"/>
        <w:rPr>
          <w:rFonts w:hint="default"/>
          <w:lang w:val="en-US" w:eastAsia="zh-CN"/>
        </w:rPr>
      </w:pPr>
      <w:bookmarkStart w:id="6" w:name="_Toc25279"/>
      <w:r>
        <w:rPr>
          <w:rFonts w:hint="default"/>
          <w:lang w:val="en-US" w:eastAsia="zh-CN"/>
        </w:rPr>
        <w:t>演练目标</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检验故障上报流程的及时性（≤5分钟）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检验应急启动的规范性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检验备份恢复机制的有效性（RTO≤4小时，RPO≤1小时）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检验技术保障组的数据库恢复能力</w:t>
      </w:r>
    </w:p>
    <w:p>
      <w:pPr>
        <w:pStyle w:val="3"/>
        <w:bidi w:val="0"/>
        <w:rPr>
          <w:rFonts w:hint="default"/>
          <w:lang w:val="en-US" w:eastAsia="zh-CN"/>
        </w:rPr>
      </w:pPr>
      <w:bookmarkStart w:id="7" w:name="_Toc21855"/>
      <w:r>
        <w:rPr>
          <w:rFonts w:hint="default"/>
          <w:lang w:val="en-US" w:eastAsia="zh-CN"/>
        </w:rPr>
        <w:t>涉及服务内容</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软件系统运维（故障处理、数据备份与恢复）</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应急响应（P1级故障处置）</w:t>
      </w:r>
    </w:p>
    <w:p>
      <w:pPr>
        <w:pStyle w:val="2"/>
        <w:bidi w:val="0"/>
        <w:rPr>
          <w:rFonts w:hint="default"/>
          <w:lang w:val="en-US" w:eastAsia="zh-CN"/>
        </w:rPr>
      </w:pPr>
      <w:bookmarkStart w:id="8" w:name="_Toc9575"/>
      <w:r>
        <w:rPr>
          <w:rFonts w:hint="default"/>
          <w:lang w:val="en-US" w:eastAsia="zh-CN"/>
        </w:rPr>
        <w:t>场景二：勒索病毒攻击（Ⅰ级特别重大故障）</w:t>
      </w:r>
      <w:bookmarkEnd w:id="8"/>
    </w:p>
    <w:p>
      <w:pPr>
        <w:pStyle w:val="3"/>
        <w:bidi w:val="0"/>
        <w:rPr>
          <w:rFonts w:hint="default"/>
          <w:lang w:val="en-US" w:eastAsia="zh-CN"/>
        </w:rPr>
      </w:pPr>
      <w:bookmarkStart w:id="9" w:name="_Toc27275"/>
      <w:r>
        <w:rPr>
          <w:rFonts w:hint="default"/>
          <w:lang w:val="en-US" w:eastAsia="zh-CN"/>
        </w:rPr>
        <w:t>故障描述</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模拟研发中心一台终端感染勒索病毒，文件被加密并出现勒索信息，病毒尝试横向扩散至核心服务器。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该故障涉及数据安全，符合合同约定的“信息安全事件”范畴。</w:t>
      </w:r>
    </w:p>
    <w:p>
      <w:pPr>
        <w:pStyle w:val="3"/>
        <w:bidi w:val="0"/>
        <w:rPr>
          <w:rFonts w:hint="default"/>
          <w:lang w:val="en-US" w:eastAsia="zh-CN"/>
        </w:rPr>
      </w:pPr>
      <w:bookmarkStart w:id="10" w:name="_Toc13465"/>
      <w:r>
        <w:rPr>
          <w:rFonts w:hint="default"/>
          <w:lang w:val="en-US" w:eastAsia="zh-CN"/>
        </w:rPr>
        <w:t>演练目标</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检验现场人员的立即断网隔离操作能力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检验安全事件上报流程（5分钟内上报）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检验从备份恢复被加密数据的能力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检验后续漏洞修复、安全加固流程</w:t>
      </w:r>
    </w:p>
    <w:p>
      <w:pPr>
        <w:pStyle w:val="3"/>
        <w:bidi w:val="0"/>
        <w:rPr>
          <w:rFonts w:hint="default"/>
          <w:lang w:val="en-US" w:eastAsia="zh-CN"/>
        </w:rPr>
      </w:pPr>
      <w:bookmarkStart w:id="11" w:name="_Toc7791"/>
      <w:r>
        <w:rPr>
          <w:rFonts w:hint="default"/>
          <w:lang w:val="en-US" w:eastAsia="zh-CN"/>
        </w:rPr>
        <w:t>涉及服务内容</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应急响应（P1级故障处置）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数据备份与恢复</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信息安全事件处置</w:t>
      </w:r>
    </w:p>
    <w:p>
      <w:pPr>
        <w:pStyle w:val="2"/>
        <w:bidi w:val="0"/>
        <w:rPr>
          <w:rFonts w:hint="default"/>
          <w:lang w:val="en-US" w:eastAsia="zh-CN"/>
        </w:rPr>
      </w:pPr>
      <w:bookmarkStart w:id="12" w:name="_Toc2970"/>
      <w:r>
        <w:rPr>
          <w:rFonts w:hint="default"/>
          <w:lang w:val="en-US" w:eastAsia="zh-CN"/>
        </w:rPr>
        <w:t>场景三：网络设备故障导致系统访问中断（Ⅱ级重大故障）</w:t>
      </w:r>
      <w:bookmarkEnd w:id="12"/>
    </w:p>
    <w:p>
      <w:pPr>
        <w:pStyle w:val="3"/>
        <w:bidi w:val="0"/>
        <w:rPr>
          <w:rFonts w:hint="default"/>
          <w:lang w:val="en-US" w:eastAsia="zh-CN"/>
        </w:rPr>
      </w:pPr>
      <w:bookmarkStart w:id="13" w:name="_Toc31745"/>
      <w:r>
        <w:rPr>
          <w:rFonts w:hint="default"/>
          <w:lang w:val="en-US" w:eastAsia="zh-CN"/>
        </w:rPr>
        <w:t>故障描述</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模拟核心交换机端口故障，导致研发中心无法访问系统。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系统本身运行正常，但网络中断导致服务不可用，属于合同约定的“硬件环境支持”范畴。</w:t>
      </w:r>
    </w:p>
    <w:p>
      <w:pPr>
        <w:pStyle w:val="3"/>
        <w:bidi w:val="0"/>
        <w:rPr>
          <w:rFonts w:hint="default"/>
          <w:lang w:val="en-US" w:eastAsia="zh-CN"/>
        </w:rPr>
      </w:pPr>
      <w:bookmarkStart w:id="14" w:name="_Toc6981"/>
      <w:r>
        <w:rPr>
          <w:rFonts w:hint="default"/>
          <w:lang w:val="en-US" w:eastAsia="zh-CN"/>
        </w:rPr>
        <w:t>演练目标</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检验网络中断的快速判定能力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检验备用链路/备用设备的切换能力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检验网络恢复后的系统可用性测试</w:t>
      </w:r>
    </w:p>
    <w:p>
      <w:pPr>
        <w:pStyle w:val="3"/>
        <w:bidi w:val="0"/>
        <w:rPr>
          <w:rFonts w:hint="default"/>
          <w:lang w:val="en-US" w:eastAsia="zh-CN"/>
        </w:rPr>
      </w:pPr>
      <w:bookmarkStart w:id="15" w:name="_Toc25474"/>
      <w:r>
        <w:rPr>
          <w:rFonts w:hint="default"/>
          <w:lang w:val="en-US" w:eastAsia="zh-CN"/>
        </w:rPr>
        <w:t>涉及服务内容</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硬件环境支持（服务器运行状态监控、故障初步诊断）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应急响应</w:t>
      </w:r>
    </w:p>
    <w:p>
      <w:pPr>
        <w:pStyle w:val="1"/>
        <w:bidi w:val="0"/>
        <w:rPr>
          <w:rFonts w:hint="default"/>
          <w:lang w:val="en-US" w:eastAsia="zh-CN"/>
        </w:rPr>
      </w:pPr>
      <w:bookmarkStart w:id="16" w:name="_Toc29277"/>
      <w:r>
        <w:rPr>
          <w:rFonts w:hint="default"/>
          <w:lang w:val="en-US" w:eastAsia="zh-CN"/>
        </w:rPr>
        <w:t>演练组织与角色</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完全遵循《系统应急响应预案》第2章规定的组织体系，所有人员按预案角色进入演练状态。</w:t>
      </w:r>
      <w:r>
        <w:rPr>
          <w:rFonts w:hint="eastAsia"/>
          <w:lang w:val="en-US" w:eastAsia="zh-CN"/>
        </w:rPr>
        <w:t>各小组构成和核心成员如下：</w:t>
      </w:r>
    </w:p>
    <w:tbl>
      <w:tblPr>
        <w:tblStyle w:val="TableNormal"/>
        <w:tblW w:w="90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Layout w:type="fixed"/>
        <w:tblCellMar>
          <w:top w:w="15" w:type="dxa"/>
          <w:left w:w="15" w:type="dxa"/>
          <w:bottom w:w="15" w:type="dxa"/>
          <w:right w:w="15" w:type="dxa"/>
        </w:tblCellMar>
      </w:tblPr>
      <w:tblGrid>
        <w:gridCol w:w="1591"/>
        <w:gridCol w:w="1836"/>
        <w:gridCol w:w="5597"/>
      </w:tblGrid>
      <w:tr>
        <w:tblPrEx>
          <w:tblW w:w="90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Layout w:type="fixed"/>
          <w:tblCellMar>
            <w:top w:w="15" w:type="dxa"/>
            <w:left w:w="15" w:type="dxa"/>
            <w:bottom w:w="15" w:type="dxa"/>
            <w:right w:w="15" w:type="dxa"/>
          </w:tblCellMar>
        </w:tblPrEx>
        <w:trPr>
          <w:tblHeader/>
        </w:trPr>
        <w:tc>
          <w:tcPr>
            <w:tcW w:w="1591"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小组</w:t>
            </w:r>
          </w:p>
        </w:tc>
        <w:tc>
          <w:tcPr>
            <w:tcW w:w="1836"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预案角色</w:t>
            </w:r>
          </w:p>
        </w:tc>
        <w:tc>
          <w:tcPr>
            <w:tcW w:w="5597"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核心职责概述</w:t>
            </w:r>
          </w:p>
        </w:tc>
      </w:tr>
      <w:tr>
        <w:tblPrEx>
          <w:tblW w:w="9024" w:type="dxa"/>
          <w:tblInd w:w="0" w:type="dxa"/>
          <w:shd w:val="clear" w:color="auto" w:fill="auto"/>
          <w:tblLayout w:type="fixed"/>
          <w:tblCellMar>
            <w:top w:w="15" w:type="dxa"/>
            <w:left w:w="15" w:type="dxa"/>
            <w:bottom w:w="15" w:type="dxa"/>
            <w:right w:w="15" w:type="dxa"/>
          </w:tblCellMar>
        </w:tblPrEx>
        <w:tc>
          <w:tcPr>
            <w:tcW w:w="1591"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Style w:val="Strong"/>
                <w:rFonts w:ascii="Segoe UI" w:eastAsia="Segoe UI" w:hAnsi="Segoe UI" w:cs="Segoe UI" w:hint="default"/>
                <w:b/>
                <w:bCs/>
                <w:i w:val="0"/>
                <w:iCs w:val="0"/>
                <w:caps w:val="0"/>
                <w:snapToGrid w:val="0"/>
                <w:color w:val="000000"/>
                <w:spacing w:val="0"/>
                <w:kern w:val="0"/>
                <w:sz w:val="18"/>
                <w:szCs w:val="18"/>
                <w:lang w:val="en-US" w:eastAsia="zh-CN"/>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应急指挥部</w:t>
            </w:r>
          </w:p>
        </w:tc>
        <w:tc>
          <w:tcPr>
            <w:tcW w:w="1836"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组长、副组长</w:t>
            </w:r>
          </w:p>
        </w:tc>
        <w:tc>
          <w:tcPr>
            <w:tcW w:w="5597"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负责演练的总体指挥与决策，包括批准启动/升级应急响应、审定关键处置方案、指挥资源调配，并指导对外（模拟甲方）沟通。</w:t>
            </w:r>
          </w:p>
        </w:tc>
      </w:tr>
      <w:tr>
        <w:tblPrEx>
          <w:tblW w:w="9024" w:type="dxa"/>
          <w:tblInd w:w="0" w:type="dxa"/>
          <w:shd w:val="clear" w:color="auto" w:fill="auto"/>
          <w:tblLayout w:type="fixed"/>
          <w:tblCellMar>
            <w:top w:w="15" w:type="dxa"/>
            <w:left w:w="15" w:type="dxa"/>
            <w:bottom w:w="15" w:type="dxa"/>
            <w:right w:w="15" w:type="dxa"/>
          </w:tblCellMar>
        </w:tblPrEx>
        <w:tc>
          <w:tcPr>
            <w:tcW w:w="1591"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Style w:val="Strong"/>
                <w:rFonts w:ascii="Segoe UI" w:eastAsia="Segoe UI" w:hAnsi="Segoe UI" w:cs="Segoe UI" w:hint="default"/>
                <w:b/>
                <w:bCs/>
                <w:i w:val="0"/>
                <w:iCs w:val="0"/>
                <w:caps w:val="0"/>
                <w:snapToGrid w:val="0"/>
                <w:color w:val="000000"/>
                <w:spacing w:val="0"/>
                <w:kern w:val="0"/>
                <w:sz w:val="18"/>
                <w:szCs w:val="18"/>
                <w:lang w:val="en-US" w:eastAsia="zh-CN"/>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技术保障组、现场抢险组</w:t>
            </w:r>
          </w:p>
        </w:tc>
        <w:tc>
          <w:tcPr>
            <w:tcW w:w="1836"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组长及成员</w:t>
            </w:r>
          </w:p>
        </w:tc>
        <w:tc>
          <w:tcPr>
            <w:tcW w:w="5597"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作为技术处置核心，负责执行故障诊断、技术恢复操作（如系统切换、数据恢复等），并向前线指挥（现场项目经理）及领导小组实时汇报处置进展。</w:t>
            </w:r>
          </w:p>
        </w:tc>
      </w:tr>
      <w:tr>
        <w:tblPrEx>
          <w:tblW w:w="9024" w:type="dxa"/>
          <w:tblInd w:w="0" w:type="dxa"/>
          <w:shd w:val="clear" w:color="auto" w:fill="auto"/>
          <w:tblLayout w:type="fixed"/>
          <w:tblCellMar>
            <w:top w:w="15" w:type="dxa"/>
            <w:left w:w="15" w:type="dxa"/>
            <w:bottom w:w="15" w:type="dxa"/>
            <w:right w:w="15" w:type="dxa"/>
          </w:tblCellMar>
        </w:tblPrEx>
        <w:tc>
          <w:tcPr>
            <w:tcW w:w="1591"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Style w:val="Strong"/>
                <w:rFonts w:ascii="Segoe UI" w:eastAsia="Segoe UI" w:hAnsi="Segoe UI" w:cs="Segoe UI" w:hint="default"/>
                <w:b/>
                <w:bCs/>
                <w:i w:val="0"/>
                <w:iCs w:val="0"/>
                <w:caps w:val="0"/>
                <w:snapToGrid w:val="0"/>
                <w:color w:val="000000"/>
                <w:spacing w:val="0"/>
                <w:kern w:val="0"/>
                <w:sz w:val="18"/>
                <w:szCs w:val="18"/>
                <w:lang w:val="en-US" w:eastAsia="zh-CN"/>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信息联络组、后勤支持组</w:t>
            </w:r>
          </w:p>
        </w:tc>
        <w:tc>
          <w:tcPr>
            <w:tcW w:w="1836"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组长及成员</w:t>
            </w:r>
          </w:p>
        </w:tc>
        <w:tc>
          <w:tcPr>
            <w:tcW w:w="5597"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负责演练过程中的资源协调与后勤保障，模拟服务台事件受理、备品备件调用流程支持、内外沟通记录以及必要的行政支持。</w:t>
            </w:r>
          </w:p>
        </w:tc>
      </w:tr>
      <w:tr>
        <w:tblPrEx>
          <w:tblW w:w="9024" w:type="dxa"/>
          <w:tblInd w:w="0" w:type="dxa"/>
          <w:shd w:val="clear" w:color="auto" w:fill="auto"/>
          <w:tblLayout w:type="fixed"/>
          <w:tblCellMar>
            <w:top w:w="15" w:type="dxa"/>
            <w:left w:w="15" w:type="dxa"/>
            <w:bottom w:w="15" w:type="dxa"/>
            <w:right w:w="15" w:type="dxa"/>
          </w:tblCellMar>
        </w:tblPrEx>
        <w:tc>
          <w:tcPr>
            <w:tcW w:w="1591"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Style w:val="Strong"/>
                <w:rFonts w:ascii="Segoe UI" w:eastAsia="Segoe UI" w:hAnsi="Segoe UI" w:cs="Segoe UI" w:hint="default"/>
                <w:b/>
                <w:bCs/>
                <w:i w:val="0"/>
                <w:iCs w:val="0"/>
                <w:caps w:val="0"/>
                <w:snapToGrid w:val="0"/>
                <w:color w:val="000000"/>
                <w:spacing w:val="0"/>
                <w:kern w:val="0"/>
                <w:sz w:val="18"/>
                <w:szCs w:val="18"/>
                <w:lang w:val="en-US" w:eastAsia="zh-CN"/>
              </w:rPr>
            </w:pPr>
            <w:bookmarkStart w:id="17" w:name="_GoBack"/>
            <w:bookmarkEnd w:id="17"/>
            <w:r>
              <w:rPr>
                <w:rStyle w:val="Strong"/>
                <w:rFonts w:ascii="Segoe UI" w:eastAsia="Segoe UI" w:hAnsi="Segoe UI" w:cs="Segoe UI" w:hint="default"/>
                <w:b/>
                <w:bCs/>
                <w:i w:val="0"/>
                <w:iCs w:val="0"/>
                <w:caps w:val="0"/>
                <w:snapToGrid w:val="0"/>
                <w:color w:val="000000"/>
                <w:spacing w:val="0"/>
                <w:kern w:val="0"/>
                <w:sz w:val="18"/>
                <w:szCs w:val="18"/>
                <w:lang w:val="en-US" w:eastAsia="zh-CN"/>
              </w:rPr>
              <w:t>质量部</w:t>
            </w:r>
          </w:p>
        </w:tc>
        <w:tc>
          <w:tcPr>
            <w:tcW w:w="1836"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组长及成员</w:t>
            </w:r>
          </w:p>
        </w:tc>
        <w:tc>
          <w:tcPr>
            <w:tcW w:w="5597"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独立于执行体系之外，负责全程监控与记录演练过程，依据预设标准评估流程符合性、时效性及团队协同效果，并于事后出具评估报告。</w:t>
            </w:r>
          </w:p>
        </w:tc>
      </w:tr>
    </w:tbl>
    <w:p>
      <w:pPr>
        <w:pStyle w:val="1"/>
        <w:bidi w:val="0"/>
        <w:rPr>
          <w:rFonts w:hint="default"/>
          <w:lang w:val="en-US" w:eastAsia="zh-CN"/>
        </w:rPr>
      </w:pPr>
      <w:bookmarkStart w:id="18" w:name="_Toc16908"/>
      <w:r>
        <w:rPr>
          <w:rFonts w:hint="default"/>
          <w:lang w:val="en-US" w:eastAsia="zh-CN"/>
        </w:rPr>
        <w:t>演练阶段安排</w:t>
      </w:r>
      <w:bookmarkEnd w:id="18"/>
    </w:p>
    <w:p>
      <w:pPr>
        <w:pStyle w:val="2"/>
        <w:bidi w:val="0"/>
        <w:rPr>
          <w:rFonts w:hint="default"/>
          <w:lang w:val="en-US" w:eastAsia="zh-CN"/>
        </w:rPr>
      </w:pPr>
      <w:bookmarkStart w:id="19" w:name="_Toc1391"/>
      <w:r>
        <w:rPr>
          <w:rFonts w:hint="default"/>
          <w:lang w:val="en-US" w:eastAsia="zh-CN"/>
        </w:rPr>
        <w:t>准备与启动 (8:30-9:00)</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所有参演人员集结，召开简短演练启动会，重申规则、目标和安全事项。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观察评估组就位，检查记录工具。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领导小组宣布演练进入待命状态。</w:t>
      </w:r>
    </w:p>
    <w:p>
      <w:pPr>
        <w:pStyle w:val="2"/>
        <w:bidi w:val="0"/>
        <w:rPr>
          <w:rFonts w:hint="default"/>
          <w:lang w:val="en-US" w:eastAsia="zh-CN"/>
        </w:rPr>
      </w:pPr>
      <w:bookmarkStart w:id="20" w:name="_Toc28261"/>
      <w:r>
        <w:rPr>
          <w:rFonts w:hint="default"/>
          <w:lang w:val="en-US" w:eastAsia="zh-CN"/>
        </w:rPr>
        <w:t>故障注入与应急响应 (9:00-</w:t>
      </w:r>
      <w:r>
        <w:rPr>
          <w:rFonts w:hint="eastAsia"/>
          <w:lang w:val="en-US" w:eastAsia="zh-CN"/>
        </w:rPr>
        <w:t>10</w:t>
      </w:r>
      <w:r>
        <w:rPr>
          <w:rFonts w:hint="default"/>
          <w:lang w:val="en-US" w:eastAsia="zh-CN"/>
        </w:rPr>
        <w:t>:</w:t>
      </w:r>
      <w:r>
        <w:rPr>
          <w:rFonts w:hint="eastAsia"/>
          <w:lang w:val="en-US" w:eastAsia="zh-CN"/>
        </w:rPr>
        <w:t>30</w:t>
      </w:r>
      <w:r>
        <w:rPr>
          <w:rFonts w:hint="default"/>
          <w:lang w:val="en-US" w:eastAsia="zh-CN"/>
        </w:rPr>
        <w:t>)</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9:00</w:t>
      </w:r>
      <w:r>
        <w:rPr>
          <w:rFonts w:hint="default"/>
          <w:lang w:val="en-US" w:eastAsia="zh-CN"/>
        </w:rPr>
        <w:tab/>
      </w:r>
      <w:r>
        <w:rPr>
          <w:rFonts w:hint="default"/>
          <w:lang w:val="en-US" w:eastAsia="zh-CN"/>
        </w:rPr>
        <w:t>观察评估组注入第一个预设故障（数据库崩溃）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9:00-9:05</w:t>
      </w:r>
      <w:r>
        <w:rPr>
          <w:rFonts w:hint="default"/>
          <w:lang w:val="en-US" w:eastAsia="zh-CN"/>
        </w:rPr>
        <w:tab/>
      </w:r>
      <w:r>
        <w:rPr>
          <w:rFonts w:hint="default"/>
          <w:lang w:val="en-US" w:eastAsia="zh-CN"/>
        </w:rPr>
        <w:t>技术保障组发现故障，立即上报应急指挥部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9:05-9:10</w:t>
      </w:r>
      <w:r>
        <w:rPr>
          <w:rFonts w:hint="default"/>
          <w:lang w:val="en-US" w:eastAsia="zh-CN"/>
        </w:rPr>
        <w:tab/>
      </w:r>
      <w:r>
        <w:rPr>
          <w:rFonts w:hint="default"/>
          <w:lang w:val="en-US" w:eastAsia="zh-CN"/>
        </w:rPr>
        <w:t>应急指挥部判定为Ⅱ级重大故障，启动应急响应</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9:10-9:45</w:t>
      </w:r>
      <w:r>
        <w:rPr>
          <w:rFonts w:hint="default"/>
          <w:lang w:val="en-US" w:eastAsia="zh-CN"/>
        </w:rPr>
        <w:tab/>
      </w:r>
      <w:r>
        <w:rPr>
          <w:rFonts w:hint="default"/>
          <w:lang w:val="en-US" w:eastAsia="zh-CN"/>
        </w:rPr>
        <w:t>技术保障组执行数据库恢复操作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9:45</w:t>
      </w:r>
      <w:r>
        <w:rPr>
          <w:rFonts w:hint="default"/>
          <w:lang w:val="en-US" w:eastAsia="zh-CN"/>
        </w:rPr>
        <w:tab/>
      </w:r>
      <w:r>
        <w:rPr>
          <w:rFonts w:hint="default"/>
          <w:lang w:val="en-US" w:eastAsia="zh-CN"/>
        </w:rPr>
        <w:t>数据库恢复完成，业务验证正常</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9:45-9:50</w:t>
      </w:r>
      <w:r>
        <w:rPr>
          <w:rFonts w:hint="default"/>
          <w:lang w:val="en-US" w:eastAsia="zh-CN"/>
        </w:rPr>
        <w:tab/>
      </w:r>
      <w:r>
        <w:rPr>
          <w:rFonts w:hint="default"/>
          <w:lang w:val="en-US" w:eastAsia="zh-CN"/>
        </w:rPr>
        <w:t>注入第二个预设故障（勒索病毒攻击）</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9:50-9:55</w:t>
      </w:r>
      <w:r>
        <w:rPr>
          <w:rFonts w:hint="default"/>
          <w:lang w:val="en-US" w:eastAsia="zh-CN"/>
        </w:rPr>
        <w:tab/>
      </w:r>
      <w:r>
        <w:rPr>
          <w:rFonts w:hint="default"/>
          <w:lang w:val="en-US" w:eastAsia="zh-CN"/>
        </w:rPr>
        <w:t>现场抢险组发现异常，立即断网隔离，上报应急指挥部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9:55-10:00</w:t>
      </w:r>
      <w:r>
        <w:rPr>
          <w:rFonts w:hint="default"/>
          <w:lang w:val="en-US" w:eastAsia="zh-CN"/>
        </w:rPr>
        <w:tab/>
      </w:r>
      <w:r>
        <w:rPr>
          <w:rFonts w:hint="default"/>
          <w:lang w:val="en-US" w:eastAsia="zh-CN"/>
        </w:rPr>
        <w:t>应急指挥部判定为Ⅰ级特别重大故障，启动Ⅰ级响应</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10:00-10:15</w:t>
      </w:r>
      <w:r>
        <w:rPr>
          <w:rFonts w:hint="default"/>
          <w:lang w:val="en-US" w:eastAsia="zh-CN"/>
        </w:rPr>
        <w:tab/>
      </w:r>
      <w:r>
        <w:rPr>
          <w:rFonts w:hint="default"/>
          <w:lang w:val="en-US" w:eastAsia="zh-CN"/>
        </w:rPr>
        <w:t>技术保障组从备份恢复被加密数据，全盘扫描确认无病毒扩散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10:15-10:20</w:t>
      </w:r>
      <w:r>
        <w:rPr>
          <w:rFonts w:hint="default"/>
          <w:lang w:val="en-US" w:eastAsia="zh-CN"/>
        </w:rPr>
        <w:tab/>
      </w:r>
      <w:r>
        <w:rPr>
          <w:rFonts w:hint="default"/>
          <w:lang w:val="en-US" w:eastAsia="zh-CN"/>
        </w:rPr>
        <w:t>注入第三个预设故障（网络设备故障）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10:20-10:25</w:t>
      </w:r>
      <w:r>
        <w:rPr>
          <w:rFonts w:hint="default"/>
          <w:lang w:val="en-US" w:eastAsia="zh-CN"/>
        </w:rPr>
        <w:tab/>
      </w:r>
      <w:r>
        <w:rPr>
          <w:rFonts w:hint="default"/>
          <w:lang w:val="en-US" w:eastAsia="zh-CN"/>
        </w:rPr>
        <w:t>现场抢险组启用备用交换机，切换链路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10:25-10:30</w:t>
      </w:r>
      <w:r>
        <w:rPr>
          <w:rFonts w:hint="default"/>
          <w:lang w:val="en-US" w:eastAsia="zh-CN"/>
        </w:rPr>
        <w:tab/>
      </w:r>
      <w:r>
        <w:rPr>
          <w:rFonts w:hint="default"/>
          <w:lang w:val="en-US" w:eastAsia="zh-CN"/>
        </w:rPr>
        <w:t>网络恢复，系统访问正常</w:t>
      </w:r>
    </w:p>
    <w:p>
      <w:pPr>
        <w:pStyle w:val="2"/>
        <w:bidi w:val="0"/>
        <w:rPr>
          <w:rFonts w:hint="default"/>
          <w:lang w:val="en-US" w:eastAsia="zh-CN"/>
        </w:rPr>
      </w:pPr>
      <w:bookmarkStart w:id="21" w:name="_Toc31443"/>
      <w:r>
        <w:rPr>
          <w:rFonts w:hint="default"/>
          <w:lang w:val="en-US" w:eastAsia="zh-CN"/>
        </w:rPr>
        <w:t>总结与复盘 (1</w:t>
      </w:r>
      <w:r>
        <w:rPr>
          <w:rFonts w:hint="eastAsia"/>
          <w:lang w:val="en-US" w:eastAsia="zh-CN"/>
        </w:rPr>
        <w:t>0</w:t>
      </w:r>
      <w:r>
        <w:rPr>
          <w:rFonts w:hint="default"/>
          <w:lang w:val="en-US" w:eastAsia="zh-CN"/>
        </w:rPr>
        <w:t>:30 - 1</w:t>
      </w:r>
      <w:r>
        <w:rPr>
          <w:rFonts w:hint="eastAsia"/>
          <w:lang w:val="en-US" w:eastAsia="zh-CN"/>
        </w:rPr>
        <w:t>1</w:t>
      </w:r>
      <w:r>
        <w:rPr>
          <w:rFonts w:hint="default"/>
          <w:lang w:val="en-US" w:eastAsia="zh-CN"/>
        </w:rPr>
        <w:t>:00)</w:t>
      </w:r>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所有人员在指定会议室集合。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各小组简要自评。</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观察评估组发布初步评估发现。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领导小组进行总结，宣布演练结束。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明确《演练总结报告》编制责任人与时限（演练后3个工作日内）。</w:t>
      </w:r>
    </w:p>
    <w:p>
      <w:pPr>
        <w:pStyle w:val="1"/>
        <w:bidi w:val="0"/>
        <w:rPr>
          <w:rFonts w:hint="default"/>
          <w:lang w:val="en-US" w:eastAsia="zh-CN"/>
        </w:rPr>
      </w:pPr>
      <w:bookmarkStart w:id="22" w:name="_Toc7565"/>
      <w:r>
        <w:rPr>
          <w:rFonts w:hint="default"/>
          <w:lang w:val="en-US" w:eastAsia="zh-CN"/>
        </w:rPr>
        <w:t>演练评估与总结</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评估标准：严格对照《应急演练大纲》进行。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评估方法：采用观察评估组实时记录、关键节点计时、事后访谈相结合的方式。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总结报告：由质量部牵头，依据评估结果编制《西安国豪生物科技有限公司生物工程技术研发试验分析系统运维服务项目</w:t>
      </w:r>
      <w:r>
        <w:rPr>
          <w:rFonts w:hint="eastAsia"/>
          <w:lang w:val="en-US" w:eastAsia="zh-CN"/>
        </w:rPr>
        <w:t>-应急演练报告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》。报告需包含：</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演练概况与目标达成情况分析。</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流程、协同、技术操作中的优点与不足。</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对《系统应急响应预案》的具体修订建议。</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后续改进措施与计划。</w:t>
      </w:r>
    </w:p>
    <w:p>
      <w:pPr>
        <w:pStyle w:val="1"/>
        <w:bidi w:val="0"/>
        <w:rPr>
          <w:rFonts w:hint="default"/>
          <w:lang w:val="en-US" w:eastAsia="zh-CN"/>
        </w:rPr>
      </w:pPr>
      <w:bookmarkStart w:id="23" w:name="_Toc17282"/>
      <w:r>
        <w:rPr>
          <w:rFonts w:hint="default"/>
          <w:lang w:val="en-US" w:eastAsia="zh-CN"/>
        </w:rPr>
        <w:t>注意事项</w:t>
      </w:r>
      <w:bookmarkEnd w:id="23"/>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安全第一：所有操作必须在测试环境或完全可控的环境中进行，严禁影响甲方真实生产系统。</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通讯纪律：演练期间，所有内部通讯使用指定群组或工具，模拟对外通讯需明确说明“正在演练”。</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如实记录：鼓励暴露真实问题，所有记录仅用于改进目的，不作为绩效考核负面依据。</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甲方协同：提前与甲方接口人沟通演练计划，取得理解与支持，明确模拟通报接口人。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84B04ED"/>
    <w:multiLevelType w:val="singleLevel"/>
    <w:tmpl w:val="984B04ED"/>
    <w:lvl w:ilvl="0">
      <w:start w:val="1"/>
      <w:numFmt w:val="decimal"/>
      <w:lvlText w:val="%1."/>
      <w:lvlJc w:val="left"/>
      <w:pPr>
        <w:ind w:left="425" w:hanging="425"/>
      </w:pPr>
      <w:rPr>
        <w:rFonts w:hint="default"/>
      </w:rPr>
    </w:lvl>
  </w:abstractNum>
  <w:abstractNum w:abstractNumId="2">
    <w:nsid w:val="B3618179"/>
    <w:multiLevelType w:val="singleLevel"/>
    <w:tmpl w:val="B3618179"/>
    <w:lvl w:ilvl="0">
      <w:start w:val="1"/>
      <w:numFmt w:val="decimal"/>
      <w:lvlText w:val="%1."/>
      <w:lvlJc w:val="left"/>
      <w:pPr>
        <w:ind w:left="425" w:hanging="425"/>
      </w:pPr>
      <w:rPr>
        <w:rFonts w:hint="default"/>
      </w:rPr>
    </w:lvl>
  </w:abstractNum>
  <w:abstractNum w:abstractNumId="3">
    <w:nsid w:val="7E2F7099"/>
    <w:multiLevelType w:val="singleLevel"/>
    <w:tmpl w:val="7E2F7099"/>
    <w:lvl w:ilvl="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link w:val="3Char"/>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character" w:customStyle="1" w:styleId="3Char">
    <w:name w:val="柴_标题3 Char"/>
    <w:link w:val="3"/>
    <w:qFormat/>
    <w:rPr>
      <w:rFonts w:ascii="宋体" w:eastAsia="宋体" w:hAnsi="宋体" w:cs="宋体"/>
      <w:spacing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8</Pages>
  <Words>2421</Words>
  <Characters>2690</Characters>
  <Application>Microsoft Office Word</Application>
  <DocSecurity>0</DocSecurity>
  <Lines>0</Lines>
  <Paragraphs>0</Paragraphs>
  <ScaleCrop>false</ScaleCrop>
  <Company/>
  <LinksUpToDate>false</LinksUpToDate>
  <CharactersWithSpaces>2809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2026-03-21T09:45:31Z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