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5952"/>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肇庆市天鹰生物科技有限公司</w:t>
      </w:r>
      <w:bookmarkEnd w:id="0"/>
    </w:p>
    <w:p>
      <w:pPr>
        <w:keepNext w:val="0"/>
        <w:keepLines w:val="0"/>
        <w:pageBreakBefore w:val="0"/>
        <w:widowControl w:val="0"/>
        <w:suppressLineNumbers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ascii="黑体" w:eastAsia="黑体" w:hAnsi="黑体" w:cs="黑体" w:hint="default"/>
          <w:b/>
          <w:bCs/>
          <w:snapToGrid w:val="0"/>
          <w:color w:val="000000"/>
          <w:spacing w:val="-7"/>
          <w:kern w:val="0"/>
          <w:sz w:val="52"/>
          <w:szCs w:val="52"/>
          <w:lang w:val="en-US" w:eastAsia="zh-CN" w:bidi="ar-SA"/>
        </w:rPr>
      </w:pPr>
      <w:r>
        <w:rPr>
          <w:rFonts w:ascii="黑体" w:eastAsia="黑体" w:hAnsi="黑体" w:cs="黑体" w:hint="default"/>
          <w:b/>
          <w:bCs/>
          <w:snapToGrid w:val="0"/>
          <w:color w:val="000000"/>
          <w:spacing w:val="-7"/>
          <w:kern w:val="0"/>
          <w:sz w:val="52"/>
          <w:szCs w:val="52"/>
          <w:lang w:val="en-US" w:eastAsia="zh-CN" w:bidi="ar-SA"/>
        </w:rPr>
        <w:t>西安国豪生物科技有限公司生物工程技术研发试验分析系统运维服务项目</w:t>
      </w:r>
      <w:r>
        <w:rPr>
          <w:rFonts w:ascii="黑体" w:eastAsia="黑体" w:hAnsi="黑体" w:cs="黑体" w:hint="eastAsia"/>
          <w:b/>
          <w:bCs/>
          <w:snapToGrid w:val="0"/>
          <w:color w:val="000000"/>
          <w:spacing w:val="-7"/>
          <w:kern w:val="0"/>
          <w:sz w:val="52"/>
          <w:szCs w:val="52"/>
          <w:lang w:val="en-US" w:eastAsia="zh-CN" w:bidi="ar-SA"/>
        </w:rPr>
        <w:t>-应急演练报告</w:t>
      </w:r>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TYSW</w:t>
      </w:r>
      <w:r>
        <w:rPr>
          <w:rFonts w:ascii="宋体" w:eastAsia="宋体" w:hAnsi="宋体" w:cs="宋体"/>
          <w:b/>
          <w:bCs/>
          <w:spacing w:val="-3"/>
          <w:sz w:val="24"/>
          <w:szCs w:val="24"/>
        </w:rPr>
        <w:t>-</w:t>
      </w:r>
      <w:r>
        <w:rPr>
          <w:rFonts w:ascii="宋体" w:hAnsi="宋体" w:cs="宋体" w:hint="eastAsia"/>
          <w:b/>
          <w:bCs/>
          <w:spacing w:val="-3"/>
          <w:sz w:val="24"/>
          <w:szCs w:val="24"/>
          <w:lang w:val="en-US" w:eastAsia="zh-CN"/>
        </w:rPr>
        <w:t>10</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5</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运维部</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2025.12.16</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2025.12.16</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吴智锋</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2025.12.16</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w:t>
            </w:r>
            <w:r>
              <w:rPr>
                <w:rFonts w:ascii="宋体" w:hAnsi="宋体" w:cs="宋体" w:hint="eastAsia"/>
                <w:spacing w:val="3"/>
                <w:position w:val="1"/>
                <w:sz w:val="20"/>
                <w:szCs w:val="20"/>
                <w:lang w:val="en-US" w:eastAsia="zh-CN"/>
              </w:rPr>
              <w:t>12.16</w:t>
            </w:r>
            <w:bookmarkStart w:id="1" w:name="_GoBack"/>
            <w:bookmarkEnd w:id="1"/>
          </w:p>
        </w:tc>
        <w:tc>
          <w:tcPr>
            <w:tcW w:w="919"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吴智锋</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_Toc5952 </w:instrText>
          </w:r>
          <w:r>
            <w:rPr>
              <w:rFonts w:ascii="宋体" w:eastAsia="宋体" w:hAnsi="宋体" w:cs="宋体" w:hint="eastAsia"/>
              <w:szCs w:val="24"/>
            </w:rPr>
            <w:fldChar w:fldCharType="separate"/>
          </w:r>
          <w:r>
            <w:rPr>
              <w:rFonts w:hint="eastAsia"/>
              <w:lang w:val="en-US" w:eastAsia="zh-CN"/>
            </w:rPr>
            <w:t>肇庆市天鹰生物科技有限公司</w:t>
          </w:r>
          <w:r>
            <w:tab/>
          </w:r>
          <w:r>
            <w:fldChar w:fldCharType="begin"/>
          </w:r>
          <w:r>
            <w:instrText xml:space="preserve"> PAGEREF _Toc5952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_Toc19011 </w:instrText>
          </w:r>
          <w:r>
            <w:rPr>
              <w:rFonts w:ascii="宋体" w:eastAsia="宋体" w:hAnsi="宋体" w:cs="宋体" w:hint="eastAsia"/>
              <w:szCs w:val="24"/>
            </w:rPr>
            <w:fldChar w:fldCharType="separate"/>
          </w:r>
          <w:r>
            <w:rPr>
              <w:rFonts w:hint="default"/>
              <w:lang w:val="en-US" w:eastAsia="zh-CN"/>
            </w:rPr>
            <w:t>1. 报告基本信息</w:t>
          </w:r>
          <w:r>
            <w:tab/>
          </w:r>
          <w:r>
            <w:fldChar w:fldCharType="begin"/>
          </w:r>
          <w:r>
            <w:instrText xml:space="preserve"> PAGEREF _Toc19011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_Toc15492 </w:instrText>
          </w:r>
          <w:r>
            <w:rPr>
              <w:rFonts w:ascii="宋体" w:eastAsia="宋体" w:hAnsi="宋体" w:cs="宋体" w:hint="eastAsia"/>
              <w:szCs w:val="24"/>
            </w:rPr>
            <w:fldChar w:fldCharType="separate"/>
          </w:r>
          <w:r>
            <w:rPr>
              <w:rFonts w:hint="default"/>
              <w:lang w:val="en-US" w:eastAsia="zh-CN"/>
            </w:rPr>
            <w:t>2. 演练目的</w:t>
          </w:r>
          <w:r>
            <w:tab/>
          </w:r>
          <w:r>
            <w:fldChar w:fldCharType="begin"/>
          </w:r>
          <w:r>
            <w:instrText xml:space="preserve"> PAGEREF _Toc15492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_Toc15573 </w:instrText>
          </w:r>
          <w:r>
            <w:rPr>
              <w:rFonts w:ascii="宋体" w:eastAsia="宋体" w:hAnsi="宋体" w:cs="宋体" w:hint="eastAsia"/>
              <w:szCs w:val="24"/>
            </w:rPr>
            <w:fldChar w:fldCharType="separate"/>
          </w:r>
          <w:r>
            <w:rPr>
              <w:rFonts w:hint="default"/>
              <w:lang w:val="en-US" w:eastAsia="zh-CN"/>
            </w:rPr>
            <w:t>3. 演练组织架构</w:t>
          </w:r>
          <w:r>
            <w:tab/>
          </w:r>
          <w:r>
            <w:fldChar w:fldCharType="begin"/>
          </w:r>
          <w:r>
            <w:instrText xml:space="preserve"> PAGEREF _Toc15573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_Toc3030 </w:instrText>
          </w:r>
          <w:r>
            <w:rPr>
              <w:rFonts w:ascii="宋体" w:eastAsia="宋体" w:hAnsi="宋体" w:cs="宋体" w:hint="eastAsia"/>
              <w:szCs w:val="24"/>
            </w:rPr>
            <w:fldChar w:fldCharType="separate"/>
          </w:r>
          <w:r>
            <w:rPr>
              <w:rFonts w:hint="default"/>
              <w:lang w:val="en-US" w:eastAsia="zh-CN"/>
            </w:rPr>
            <w:t>4. 演练过程描述</w:t>
          </w:r>
          <w:r>
            <w:tab/>
          </w:r>
          <w:r>
            <w:fldChar w:fldCharType="begin"/>
          </w:r>
          <w:r>
            <w:instrText xml:space="preserve"> PAGEREF _Toc3030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_Toc28515 </w:instrText>
          </w:r>
          <w:r>
            <w:rPr>
              <w:rFonts w:ascii="宋体" w:eastAsia="宋体" w:hAnsi="宋体" w:cs="宋体" w:hint="eastAsia"/>
              <w:szCs w:val="24"/>
            </w:rPr>
            <w:fldChar w:fldCharType="separate"/>
          </w:r>
          <w:r>
            <w:rPr>
              <w:rFonts w:hint="default"/>
              <w:lang w:val="en-US" w:eastAsia="zh-CN"/>
            </w:rPr>
            <w:t>4.1. 演练准备阶段（8:30-9:00）</w:t>
          </w:r>
          <w:r>
            <w:tab/>
          </w:r>
          <w:r>
            <w:fldChar w:fldCharType="begin"/>
          </w:r>
          <w:r>
            <w:instrText xml:space="preserve"> PAGEREF _Toc28515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_Toc20926 </w:instrText>
          </w:r>
          <w:r>
            <w:rPr>
              <w:rFonts w:ascii="宋体" w:eastAsia="宋体" w:hAnsi="宋体" w:cs="宋体" w:hint="eastAsia"/>
              <w:szCs w:val="24"/>
            </w:rPr>
            <w:fldChar w:fldCharType="separate"/>
          </w:r>
          <w:r>
            <w:rPr>
              <w:rFonts w:hint="default"/>
              <w:lang w:val="en-US" w:eastAsia="zh-CN"/>
            </w:rPr>
            <w:t>4.2. 场景一：核心数据库服务崩溃（9:00-9:45）</w:t>
          </w:r>
          <w:r>
            <w:tab/>
          </w:r>
          <w:r>
            <w:fldChar w:fldCharType="begin"/>
          </w:r>
          <w:r>
            <w:instrText xml:space="preserve"> PAGEREF _Toc20926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_Toc18332 </w:instrText>
          </w:r>
          <w:r>
            <w:rPr>
              <w:rFonts w:ascii="宋体" w:eastAsia="宋体" w:hAnsi="宋体" w:cs="宋体" w:hint="eastAsia"/>
              <w:szCs w:val="24"/>
            </w:rPr>
            <w:fldChar w:fldCharType="separate"/>
          </w:r>
          <w:r>
            <w:rPr>
              <w:rFonts w:hint="default"/>
              <w:lang w:val="en-US" w:eastAsia="zh-CN"/>
            </w:rPr>
            <w:t>4.3. 场景二：勒索病毒攻击（9:50-10:25）</w:t>
          </w:r>
          <w:r>
            <w:tab/>
          </w:r>
          <w:r>
            <w:fldChar w:fldCharType="begin"/>
          </w:r>
          <w:r>
            <w:instrText xml:space="preserve"> PAGEREF _Toc18332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_Toc867 </w:instrText>
          </w:r>
          <w:r>
            <w:rPr>
              <w:rFonts w:ascii="宋体" w:eastAsia="宋体" w:hAnsi="宋体" w:cs="宋体" w:hint="eastAsia"/>
              <w:szCs w:val="24"/>
            </w:rPr>
            <w:fldChar w:fldCharType="separate"/>
          </w:r>
          <w:r>
            <w:rPr>
              <w:rFonts w:hint="default"/>
              <w:lang w:val="en-US" w:eastAsia="zh-CN"/>
            </w:rPr>
            <w:t>4.4. 场景三：网络设备故障导致系统访问中断（10:30-11:00）</w:t>
          </w:r>
          <w:r>
            <w:tab/>
          </w:r>
          <w:r>
            <w:fldChar w:fldCharType="begin"/>
          </w:r>
          <w:r>
            <w:instrText xml:space="preserve"> PAGEREF _Toc867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_Toc23384 </w:instrText>
          </w:r>
          <w:r>
            <w:rPr>
              <w:rFonts w:ascii="宋体" w:eastAsia="宋体" w:hAnsi="宋体" w:cs="宋体" w:hint="eastAsia"/>
              <w:szCs w:val="24"/>
            </w:rPr>
            <w:fldChar w:fldCharType="separate"/>
          </w:r>
          <w:r>
            <w:rPr>
              <w:rFonts w:hint="default"/>
              <w:lang w:val="en-US" w:eastAsia="zh-CN"/>
            </w:rPr>
            <w:t>5. 演练评估</w:t>
          </w:r>
          <w:r>
            <w:tab/>
          </w:r>
          <w:r>
            <w:fldChar w:fldCharType="begin"/>
          </w:r>
          <w:r>
            <w:instrText xml:space="preserve"> PAGEREF _Toc23384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_Toc18253 </w:instrText>
          </w:r>
          <w:r>
            <w:rPr>
              <w:rFonts w:ascii="宋体" w:eastAsia="宋体" w:hAnsi="宋体" w:cs="宋体" w:hint="eastAsia"/>
              <w:szCs w:val="24"/>
            </w:rPr>
            <w:fldChar w:fldCharType="separate"/>
          </w:r>
          <w:r>
            <w:rPr>
              <w:rFonts w:hint="default"/>
              <w:lang w:val="en-US" w:eastAsia="zh-CN"/>
            </w:rPr>
            <w:t>5.1. 预案评估</w:t>
          </w:r>
          <w:r>
            <w:tab/>
          </w:r>
          <w:r>
            <w:fldChar w:fldCharType="begin"/>
          </w:r>
          <w:r>
            <w:instrText xml:space="preserve"> PAGEREF _Toc18253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_Toc9956 </w:instrText>
          </w:r>
          <w:r>
            <w:rPr>
              <w:rFonts w:ascii="宋体" w:eastAsia="宋体" w:hAnsi="宋体" w:cs="宋体" w:hint="eastAsia"/>
              <w:szCs w:val="24"/>
            </w:rPr>
            <w:fldChar w:fldCharType="separate"/>
          </w:r>
          <w:r>
            <w:rPr>
              <w:rFonts w:hint="default"/>
              <w:lang w:val="en-US" w:eastAsia="zh-CN"/>
            </w:rPr>
            <w:t>5.2. 演练评估</w:t>
          </w:r>
          <w:r>
            <w:tab/>
          </w:r>
          <w:r>
            <w:fldChar w:fldCharType="begin"/>
          </w:r>
          <w:r>
            <w:instrText xml:space="preserve"> PAGEREF _Toc9956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_Toc24811 </w:instrText>
          </w:r>
          <w:r>
            <w:rPr>
              <w:rFonts w:ascii="宋体" w:eastAsia="宋体" w:hAnsi="宋体" w:cs="宋体" w:hint="eastAsia"/>
              <w:szCs w:val="24"/>
            </w:rPr>
            <w:fldChar w:fldCharType="separate"/>
          </w:r>
          <w:r>
            <w:rPr>
              <w:rFonts w:hint="default"/>
              <w:lang w:val="en-US" w:eastAsia="zh-CN"/>
            </w:rPr>
            <w:t>5.3. 指挥评估</w:t>
          </w:r>
          <w:r>
            <w:tab/>
          </w:r>
          <w:r>
            <w:fldChar w:fldCharType="begin"/>
          </w:r>
          <w:r>
            <w:instrText xml:space="preserve"> PAGEREF _Toc24811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_Toc7909 </w:instrText>
          </w:r>
          <w:r>
            <w:rPr>
              <w:rFonts w:ascii="宋体" w:eastAsia="宋体" w:hAnsi="宋体" w:cs="宋体" w:hint="eastAsia"/>
              <w:szCs w:val="24"/>
            </w:rPr>
            <w:fldChar w:fldCharType="separate"/>
          </w:r>
          <w:r>
            <w:rPr>
              <w:rFonts w:hint="default"/>
              <w:lang w:val="en-US" w:eastAsia="zh-CN"/>
            </w:rPr>
            <w:t>5.4. 协作评估</w:t>
          </w:r>
          <w:r>
            <w:tab/>
          </w:r>
          <w:r>
            <w:fldChar w:fldCharType="begin"/>
          </w:r>
          <w:r>
            <w:instrText xml:space="preserve"> PAGEREF _Toc7909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_Toc32120 </w:instrText>
          </w:r>
          <w:r>
            <w:rPr>
              <w:rFonts w:ascii="宋体" w:eastAsia="宋体" w:hAnsi="宋体" w:cs="宋体" w:hint="eastAsia"/>
              <w:szCs w:val="24"/>
            </w:rPr>
            <w:fldChar w:fldCharType="separate"/>
          </w:r>
          <w:r>
            <w:rPr>
              <w:rFonts w:hint="default"/>
              <w:lang w:val="en-US" w:eastAsia="zh-CN"/>
            </w:rPr>
            <w:t>5.5. 总体评价</w:t>
          </w:r>
          <w:r>
            <w:tab/>
          </w:r>
          <w:r>
            <w:fldChar w:fldCharType="begin"/>
          </w:r>
          <w:r>
            <w:instrText xml:space="preserve"> PAGEREF _Toc32120 \h </w:instrText>
          </w:r>
          <w:r>
            <w:fldChar w:fldCharType="separate"/>
          </w:r>
          <w:r>
            <w:t>8</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_Toc16939 </w:instrText>
          </w:r>
          <w:r>
            <w:rPr>
              <w:rFonts w:ascii="宋体" w:eastAsia="宋体" w:hAnsi="宋体" w:cs="宋体" w:hint="eastAsia"/>
              <w:szCs w:val="24"/>
            </w:rPr>
            <w:fldChar w:fldCharType="separate"/>
          </w:r>
          <w:r>
            <w:rPr>
              <w:rFonts w:hint="default"/>
              <w:lang w:val="en-US" w:eastAsia="zh-CN"/>
            </w:rPr>
            <w:t>6. 演练评估指标达成情况</w:t>
          </w:r>
          <w:r>
            <w:tab/>
          </w:r>
          <w:r>
            <w:fldChar w:fldCharType="begin"/>
          </w:r>
          <w:r>
            <w:instrText xml:space="preserve"> PAGEREF _Toc16939 \h </w:instrText>
          </w:r>
          <w:r>
            <w:fldChar w:fldCharType="separate"/>
          </w:r>
          <w:r>
            <w:t>8</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_Toc5378 </w:instrText>
          </w:r>
          <w:r>
            <w:rPr>
              <w:rFonts w:ascii="宋体" w:eastAsia="宋体" w:hAnsi="宋体" w:cs="宋体" w:hint="eastAsia"/>
              <w:szCs w:val="24"/>
            </w:rPr>
            <w:fldChar w:fldCharType="separate"/>
          </w:r>
          <w:r>
            <w:rPr>
              <w:rFonts w:hint="default"/>
              <w:lang w:val="en-US" w:eastAsia="zh-CN"/>
            </w:rPr>
            <w:t>7. 存在问题与改进措施</w:t>
          </w:r>
          <w:r>
            <w:tab/>
          </w:r>
          <w:r>
            <w:fldChar w:fldCharType="begin"/>
          </w:r>
          <w:r>
            <w:instrText xml:space="preserve"> PAGEREF _Toc5378 \h </w:instrText>
          </w:r>
          <w:r>
            <w:fldChar w:fldCharType="separate"/>
          </w:r>
          <w:r>
            <w:t>9</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_Toc13086 </w:instrText>
          </w:r>
          <w:r>
            <w:rPr>
              <w:rFonts w:ascii="宋体" w:eastAsia="宋体" w:hAnsi="宋体" w:cs="宋体" w:hint="eastAsia"/>
              <w:szCs w:val="24"/>
            </w:rPr>
            <w:fldChar w:fldCharType="separate"/>
          </w:r>
          <w:r>
            <w:rPr>
              <w:rFonts w:hint="default"/>
              <w:lang w:val="en-US" w:eastAsia="zh-CN"/>
            </w:rPr>
            <w:t>8. 演练总结与建议</w:t>
          </w:r>
          <w:r>
            <w:tab/>
          </w:r>
          <w:r>
            <w:fldChar w:fldCharType="begin"/>
          </w:r>
          <w:r>
            <w:instrText xml:space="preserve"> PAGEREF _Toc13086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_Toc26774 </w:instrText>
          </w:r>
          <w:r>
            <w:rPr>
              <w:rFonts w:ascii="宋体" w:eastAsia="宋体" w:hAnsi="宋体" w:cs="宋体" w:hint="eastAsia"/>
              <w:szCs w:val="24"/>
            </w:rPr>
            <w:fldChar w:fldCharType="separate"/>
          </w:r>
          <w:r>
            <w:rPr>
              <w:rFonts w:hint="default"/>
              <w:lang w:val="en-US" w:eastAsia="zh-CN"/>
            </w:rPr>
            <w:t>8.1. 演练总结</w:t>
          </w:r>
          <w:r>
            <w:tab/>
          </w:r>
          <w:r>
            <w:fldChar w:fldCharType="begin"/>
          </w:r>
          <w:r>
            <w:instrText xml:space="preserve"> PAGEREF _Toc26774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_Toc23993 </w:instrText>
          </w:r>
          <w:r>
            <w:rPr>
              <w:rFonts w:ascii="宋体" w:eastAsia="宋体" w:hAnsi="宋体" w:cs="宋体" w:hint="eastAsia"/>
              <w:szCs w:val="24"/>
            </w:rPr>
            <w:fldChar w:fldCharType="separate"/>
          </w:r>
          <w:r>
            <w:rPr>
              <w:rFonts w:hint="default"/>
              <w:lang w:val="en-US" w:eastAsia="zh-CN"/>
            </w:rPr>
            <w:t>8.2. 改进建议</w:t>
          </w:r>
          <w:r>
            <w:tab/>
          </w:r>
          <w:r>
            <w:fldChar w:fldCharType="begin"/>
          </w:r>
          <w:r>
            <w:instrText xml:space="preserve"> PAGEREF _Toc23993 \h </w:instrText>
          </w:r>
          <w:r>
            <w:fldChar w:fldCharType="separate"/>
          </w:r>
          <w:r>
            <w:t>9</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_Toc12000 </w:instrText>
          </w:r>
          <w:r>
            <w:rPr>
              <w:rFonts w:ascii="宋体" w:eastAsia="宋体" w:hAnsi="宋体" w:cs="宋体" w:hint="eastAsia"/>
              <w:szCs w:val="24"/>
            </w:rPr>
            <w:fldChar w:fldCharType="separate"/>
          </w:r>
          <w:r>
            <w:rPr>
              <w:rFonts w:hint="default"/>
              <w:lang w:val="en-US" w:eastAsia="zh-CN"/>
            </w:rPr>
            <w:t>9. 附件</w:t>
          </w:r>
          <w:r>
            <w:tab/>
          </w:r>
          <w:r>
            <w:fldChar w:fldCharType="begin"/>
          </w:r>
          <w:r>
            <w:instrText xml:space="preserve"> PAGEREF _Toc12000 \h </w:instrText>
          </w:r>
          <w:r>
            <w:fldChar w:fldCharType="separate"/>
          </w:r>
          <w:r>
            <w:t>10</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bidi w:val="0"/>
        <w:rPr>
          <w:rFonts w:hint="default"/>
          <w:lang w:val="en-US" w:eastAsia="zh-CN"/>
        </w:rPr>
      </w:pPr>
      <w:bookmarkStart w:id="2" w:name="_Toc19011"/>
      <w:r>
        <w:rPr>
          <w:rFonts w:hint="default"/>
          <w:lang w:val="en-US" w:eastAsia="zh-CN"/>
        </w:rPr>
        <w:t>报告基本信息</w:t>
      </w:r>
      <w:bookmarkEnd w:id="2"/>
    </w:p>
    <w:p>
      <w:pPr>
        <w:pStyle w:val="a1"/>
        <w:bidi w:val="0"/>
        <w:rPr>
          <w:rFonts w:hint="default"/>
          <w:lang w:val="en-US" w:eastAsia="zh-CN"/>
        </w:rPr>
      </w:pPr>
      <w:r>
        <w:rPr>
          <w:rFonts w:hint="default"/>
          <w:lang w:val="en-US" w:eastAsia="zh-CN"/>
        </w:rPr>
        <w:t>预案名称</w:t>
      </w:r>
      <w:r>
        <w:rPr>
          <w:rFonts w:hint="default"/>
          <w:lang w:val="en-US" w:eastAsia="zh-CN"/>
        </w:rPr>
        <w:tab/>
      </w:r>
      <w:r>
        <w:rPr>
          <w:rFonts w:hint="default"/>
          <w:lang w:val="en-US" w:eastAsia="zh-CN"/>
        </w:rPr>
        <w:t>西安国豪生物科技有限公司生物工程技术研发试验分析系统运维服务项目应急预案</w:t>
      </w:r>
    </w:p>
    <w:p>
      <w:pPr>
        <w:pStyle w:val="a1"/>
        <w:bidi w:val="0"/>
        <w:rPr>
          <w:rFonts w:hint="default"/>
          <w:lang w:val="en-US" w:eastAsia="zh-CN"/>
        </w:rPr>
      </w:pPr>
      <w:r>
        <w:rPr>
          <w:rFonts w:hint="default"/>
          <w:lang w:val="en-US" w:eastAsia="zh-CN"/>
        </w:rPr>
        <w:t>演练类别</w:t>
      </w:r>
      <w:r>
        <w:rPr>
          <w:rFonts w:hint="default"/>
          <w:lang w:val="en-US" w:eastAsia="zh-CN"/>
        </w:rPr>
        <w:tab/>
      </w:r>
      <w:r>
        <w:rPr>
          <w:rFonts w:hint="default"/>
          <w:lang w:val="en-US" w:eastAsia="zh-CN"/>
        </w:rPr>
        <w:t>☑现场处置演练 ☑实战演练 □桌面演练 □专项演练</w:t>
      </w:r>
    </w:p>
    <w:p>
      <w:pPr>
        <w:pStyle w:val="a1"/>
        <w:bidi w:val="0"/>
        <w:rPr>
          <w:rFonts w:hint="default"/>
          <w:lang w:val="en-US" w:eastAsia="zh-CN"/>
        </w:rPr>
      </w:pPr>
      <w:r>
        <w:rPr>
          <w:rFonts w:hint="default"/>
          <w:lang w:val="en-US" w:eastAsia="zh-CN"/>
        </w:rPr>
        <w:t>演练时间</w:t>
      </w:r>
      <w:r>
        <w:rPr>
          <w:rFonts w:hint="default"/>
          <w:lang w:val="en-US" w:eastAsia="zh-CN"/>
        </w:rPr>
        <w:tab/>
      </w:r>
      <w:r>
        <w:rPr>
          <w:rFonts w:hint="default"/>
          <w:lang w:val="en-US" w:eastAsia="zh-CN"/>
        </w:rPr>
        <w:t>2025年12月15日 9:00 至 11:00</w:t>
      </w:r>
    </w:p>
    <w:p>
      <w:pPr>
        <w:pStyle w:val="a1"/>
        <w:bidi w:val="0"/>
        <w:rPr>
          <w:rFonts w:hint="default"/>
          <w:lang w:val="en-US" w:eastAsia="zh-CN"/>
        </w:rPr>
      </w:pPr>
      <w:r>
        <w:rPr>
          <w:rFonts w:hint="default"/>
          <w:lang w:val="en-US" w:eastAsia="zh-CN"/>
        </w:rPr>
        <w:t>演练地点</w:t>
      </w:r>
      <w:r>
        <w:rPr>
          <w:rFonts w:hint="default"/>
          <w:lang w:val="en-US" w:eastAsia="zh-CN"/>
        </w:rPr>
        <w:tab/>
      </w:r>
      <w:r>
        <w:rPr>
          <w:rFonts w:hint="default"/>
          <w:lang w:val="en-US" w:eastAsia="zh-CN"/>
        </w:rPr>
        <w:t>西安国豪生物科技有限公司研发中心机房及运维值班室</w:t>
      </w:r>
    </w:p>
    <w:p>
      <w:pPr>
        <w:pStyle w:val="a1"/>
        <w:bidi w:val="0"/>
        <w:rPr>
          <w:rFonts w:hint="default"/>
          <w:lang w:val="en-US" w:eastAsia="zh-CN"/>
        </w:rPr>
      </w:pPr>
      <w:r>
        <w:rPr>
          <w:rFonts w:hint="default"/>
          <w:lang w:val="en-US" w:eastAsia="zh-CN"/>
        </w:rPr>
        <w:t>组织单位</w:t>
      </w:r>
      <w:r>
        <w:rPr>
          <w:rFonts w:hint="default"/>
          <w:lang w:val="en-US" w:eastAsia="zh-CN"/>
        </w:rPr>
        <w:tab/>
      </w:r>
      <w:r>
        <w:rPr>
          <w:rFonts w:hint="default"/>
          <w:lang w:val="en-US" w:eastAsia="zh-CN"/>
        </w:rPr>
        <w:t>肇庆市天鹰生物科技有限公司运维部</w:t>
      </w:r>
    </w:p>
    <w:p>
      <w:pPr>
        <w:pStyle w:val="a1"/>
        <w:bidi w:val="0"/>
        <w:rPr>
          <w:rFonts w:hint="default"/>
          <w:lang w:val="en-US" w:eastAsia="zh-CN"/>
        </w:rPr>
      </w:pPr>
      <w:r>
        <w:rPr>
          <w:rFonts w:hint="default"/>
          <w:lang w:val="en-US" w:eastAsia="zh-CN"/>
        </w:rPr>
        <w:t>参加单位</w:t>
      </w:r>
      <w:r>
        <w:rPr>
          <w:rFonts w:hint="default"/>
          <w:lang w:val="en-US" w:eastAsia="zh-CN"/>
        </w:rPr>
        <w:tab/>
      </w:r>
      <w:r>
        <w:rPr>
          <w:rFonts w:hint="default"/>
          <w:lang w:val="en-US" w:eastAsia="zh-CN"/>
        </w:rPr>
        <w:t>西安国豪生物科技有限公司信息中心、肇庆市天鹰生物科技有限公司运维团队</w:t>
      </w:r>
    </w:p>
    <w:p>
      <w:pPr>
        <w:pStyle w:val="a1"/>
        <w:bidi w:val="0"/>
        <w:rPr>
          <w:rFonts w:hint="default"/>
          <w:lang w:val="en-US" w:eastAsia="zh-CN"/>
        </w:rPr>
      </w:pPr>
      <w:r>
        <w:rPr>
          <w:rFonts w:hint="default"/>
          <w:lang w:val="en-US" w:eastAsia="zh-CN"/>
        </w:rPr>
        <w:t>天气情况</w:t>
      </w:r>
      <w:r>
        <w:rPr>
          <w:rFonts w:hint="default"/>
          <w:lang w:val="en-US" w:eastAsia="zh-CN"/>
        </w:rPr>
        <w:tab/>
      </w:r>
      <w:r>
        <w:rPr>
          <w:rFonts w:hint="default"/>
          <w:lang w:val="en-US" w:eastAsia="zh-CN"/>
        </w:rPr>
        <w:t>☑晴 □阴 □雨</w:t>
      </w:r>
    </w:p>
    <w:p>
      <w:pPr>
        <w:pStyle w:val="1"/>
        <w:bidi w:val="0"/>
        <w:rPr>
          <w:rFonts w:hint="default"/>
          <w:lang w:val="en-US" w:eastAsia="zh-CN"/>
        </w:rPr>
      </w:pPr>
      <w:bookmarkStart w:id="3" w:name="_Toc15492"/>
      <w:r>
        <w:rPr>
          <w:rFonts w:hint="default"/>
          <w:lang w:val="en-US" w:eastAsia="zh-CN"/>
        </w:rPr>
        <w:t>演练目的</w:t>
      </w:r>
      <w:bookmarkEnd w:id="3"/>
    </w:p>
    <w:p>
      <w:pPr>
        <w:pStyle w:val="a1"/>
        <w:bidi w:val="0"/>
        <w:rPr>
          <w:rFonts w:hint="default"/>
          <w:lang w:val="en-US" w:eastAsia="zh-CN"/>
        </w:rPr>
      </w:pPr>
      <w:r>
        <w:rPr>
          <w:rFonts w:hint="default"/>
          <w:lang w:val="en-US" w:eastAsia="zh-CN"/>
        </w:rPr>
        <w:t>验证应急预案可行性：检验《运维服务应急预案》（TYSW-10-03）的完整性、可操作性和有效性。</w:t>
      </w:r>
    </w:p>
    <w:p>
      <w:pPr>
        <w:pStyle w:val="a1"/>
        <w:bidi w:val="0"/>
        <w:rPr>
          <w:rFonts w:hint="default"/>
          <w:lang w:val="en-US" w:eastAsia="zh-CN"/>
        </w:rPr>
      </w:pPr>
      <w:r>
        <w:rPr>
          <w:rFonts w:hint="default"/>
          <w:lang w:val="en-US" w:eastAsia="zh-CN"/>
        </w:rPr>
        <w:t>检验应急响应能力：评估应急组织架构各小组在突发故障时的协同响应能力。</w:t>
      </w:r>
    </w:p>
    <w:p>
      <w:pPr>
        <w:pStyle w:val="a1"/>
        <w:bidi w:val="0"/>
        <w:rPr>
          <w:rFonts w:hint="default"/>
          <w:lang w:val="en-US" w:eastAsia="zh-CN"/>
        </w:rPr>
      </w:pPr>
      <w:r>
        <w:rPr>
          <w:rFonts w:hint="default"/>
          <w:lang w:val="en-US" w:eastAsia="zh-CN"/>
        </w:rPr>
        <w:t>提升实战处置技能：针对医疗生物系统典型故障场景，锻炼运维团队的故障诊断、应急处置和系统恢复能力。</w:t>
      </w:r>
    </w:p>
    <w:p>
      <w:pPr>
        <w:pStyle w:val="a1"/>
        <w:bidi w:val="0"/>
        <w:rPr>
          <w:rFonts w:hint="default"/>
          <w:lang w:val="en-US" w:eastAsia="zh-CN"/>
        </w:rPr>
      </w:pPr>
      <w:r>
        <w:rPr>
          <w:rFonts w:hint="default"/>
          <w:lang w:val="en-US" w:eastAsia="zh-CN"/>
        </w:rPr>
        <w:t>发现薄弱环节：通过演练暴露应急预案及应急准备中的不足，为后续优化提供依据。</w:t>
      </w:r>
    </w:p>
    <w:p>
      <w:pPr>
        <w:pStyle w:val="1"/>
        <w:bidi w:val="0"/>
        <w:rPr>
          <w:rFonts w:hint="default"/>
          <w:lang w:val="en-US" w:eastAsia="zh-CN"/>
        </w:rPr>
      </w:pPr>
      <w:bookmarkStart w:id="4" w:name="_Toc15573"/>
      <w:r>
        <w:rPr>
          <w:rFonts w:hint="default"/>
          <w:lang w:val="en-US" w:eastAsia="zh-CN"/>
        </w:rPr>
        <w:t>演练组织架构</w:t>
      </w:r>
      <w:bookmarkEnd w:id="4"/>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301"/>
        <w:gridCol w:w="3239"/>
        <w:gridCol w:w="3955"/>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角色</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人员</w:t>
            </w:r>
          </w:p>
        </w:tc>
        <w:tc>
          <w:tcPr>
            <w:tcW w:w="3955"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职责</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总指挥</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池杜旺（运维部经理）</w:t>
            </w:r>
          </w:p>
        </w:tc>
        <w:tc>
          <w:tcPr>
            <w:tcW w:w="395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统筹演练全局，下达应急启动/终止指令</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副总指挥</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何林（甲方信息中心负责人）</w:t>
            </w:r>
          </w:p>
        </w:tc>
        <w:tc>
          <w:tcPr>
            <w:tcW w:w="395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协调甲方资源，确认恢复结果</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技术保障组</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何煜成、何柱光</w:t>
            </w:r>
          </w:p>
        </w:tc>
        <w:tc>
          <w:tcPr>
            <w:tcW w:w="395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故障诊断、技术方案制定、系统恢复</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现场抢险组</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eastAsia"/>
                <w:i w:val="0"/>
                <w:iCs w:val="0"/>
                <w:caps w:val="0"/>
                <w:snapToGrid w:val="0"/>
                <w:color w:val="000000"/>
                <w:spacing w:val="0"/>
                <w:kern w:val="0"/>
                <w:sz w:val="18"/>
                <w:szCs w:val="18"/>
                <w:lang w:val="en-US" w:eastAsia="zh-CN"/>
              </w:rPr>
              <w:t>运维</w:t>
            </w:r>
            <w:r>
              <w:rPr>
                <w:rFonts w:ascii="Segoe UI" w:eastAsia="Segoe UI" w:hAnsi="Segoe UI" w:cs="Segoe UI" w:hint="default"/>
                <w:i w:val="0"/>
                <w:iCs w:val="0"/>
                <w:caps w:val="0"/>
                <w:snapToGrid w:val="0"/>
                <w:color w:val="000000"/>
                <w:spacing w:val="0"/>
                <w:kern w:val="0"/>
                <w:sz w:val="18"/>
                <w:szCs w:val="18"/>
                <w:lang w:val="en-US" w:eastAsia="zh-CN"/>
              </w:rPr>
              <w:t>工程师</w:t>
            </w:r>
          </w:p>
        </w:tc>
        <w:tc>
          <w:tcPr>
            <w:tcW w:w="395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现场隔离、设备更换、初期险情控制</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信息联络组</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服务台专员</w:t>
            </w:r>
          </w:p>
        </w:tc>
        <w:tc>
          <w:tcPr>
            <w:tcW w:w="395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信息通报、过程记录、对接客户</w:t>
            </w:r>
          </w:p>
        </w:tc>
      </w:tr>
      <w:tr>
        <w:tblPrEx>
          <w:tblW w:w="8495" w:type="dxa"/>
          <w:jc w:val="center"/>
          <w:shd w:val="clear" w:color="auto" w:fill="auto"/>
          <w:tblCellMar>
            <w:top w:w="15" w:type="dxa"/>
            <w:left w:w="15" w:type="dxa"/>
            <w:bottom w:w="15" w:type="dxa"/>
            <w:right w:w="15" w:type="dxa"/>
          </w:tblCellMar>
        </w:tblPrEx>
        <w:trPr>
          <w:trHeight w:val="0"/>
          <w:jc w:val="center"/>
        </w:trPr>
        <w:tc>
          <w:tcPr>
            <w:tcW w:w="1301"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后勤支持组</w:t>
            </w:r>
          </w:p>
        </w:tc>
        <w:tc>
          <w:tcPr>
            <w:tcW w:w="3239"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宋体" w:hAnsi="Segoe UI" w:cs="Segoe UI" w:hint="eastAsia"/>
                <w:i w:val="0"/>
                <w:iCs w:val="0"/>
                <w:caps w:val="0"/>
                <w:color w:val="0F1115"/>
                <w:spacing w:val="0"/>
                <w:sz w:val="18"/>
                <w:szCs w:val="18"/>
                <w:lang w:val="en-US" w:eastAsia="zh-CN"/>
              </w:rPr>
            </w:pPr>
            <w:r>
              <w:rPr>
                <w:rFonts w:ascii="Segoe UI" w:eastAsia="宋体" w:hAnsi="Segoe UI" w:cs="Segoe UI" w:hint="eastAsia"/>
                <w:i w:val="0"/>
                <w:iCs w:val="0"/>
                <w:caps w:val="0"/>
                <w:color w:val="0F1115"/>
                <w:spacing w:val="0"/>
                <w:sz w:val="18"/>
                <w:szCs w:val="18"/>
                <w:lang w:val="en-US" w:eastAsia="zh-CN"/>
              </w:rPr>
              <w:t>采购部</w:t>
            </w:r>
          </w:p>
        </w:tc>
        <w:tc>
          <w:tcPr>
            <w:tcW w:w="3955"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物资调配、交通保障、后勤服务</w:t>
            </w:r>
          </w:p>
        </w:tc>
      </w:tr>
    </w:tbl>
    <w:p>
      <w:pPr>
        <w:pStyle w:val="a1"/>
        <w:bidi w:val="0"/>
        <w:rPr>
          <w:rFonts w:hint="default"/>
          <w:lang w:val="en-US" w:eastAsia="zh-CN"/>
        </w:rPr>
      </w:pPr>
    </w:p>
    <w:p>
      <w:pPr>
        <w:pStyle w:val="1"/>
        <w:bidi w:val="0"/>
        <w:rPr>
          <w:rFonts w:hint="default"/>
          <w:lang w:val="en-US" w:eastAsia="zh-CN"/>
        </w:rPr>
      </w:pPr>
      <w:bookmarkStart w:id="5" w:name="_Toc3030"/>
      <w:r>
        <w:rPr>
          <w:rFonts w:hint="default"/>
          <w:lang w:val="en-US" w:eastAsia="zh-CN"/>
        </w:rPr>
        <w:t>演练过程描述</w:t>
      </w:r>
      <w:bookmarkEnd w:id="5"/>
    </w:p>
    <w:p>
      <w:pPr>
        <w:pStyle w:val="a1"/>
        <w:bidi w:val="0"/>
        <w:rPr>
          <w:rFonts w:hint="default"/>
          <w:lang w:val="en-US" w:eastAsia="zh-CN"/>
        </w:rPr>
      </w:pPr>
      <w:r>
        <w:rPr>
          <w:rFonts w:hint="default"/>
          <w:lang w:val="en-US" w:eastAsia="zh-CN"/>
        </w:rPr>
        <w:t>本次演练围绕医疗生物系统核心风险设置三个连续模拟场景，完整检验应急预案的可行性和团队的应急处置能力。</w:t>
      </w:r>
    </w:p>
    <w:p>
      <w:pPr>
        <w:pStyle w:val="2"/>
        <w:bidi w:val="0"/>
        <w:rPr>
          <w:rFonts w:hint="default"/>
          <w:lang w:val="en-US" w:eastAsia="zh-CN"/>
        </w:rPr>
      </w:pPr>
      <w:bookmarkStart w:id="6" w:name="_Toc28515"/>
      <w:r>
        <w:rPr>
          <w:rFonts w:hint="default"/>
          <w:lang w:val="en-US" w:eastAsia="zh-CN"/>
        </w:rPr>
        <w:t>演练准备阶段（8:30-9:00）</w:t>
      </w:r>
      <w:bookmarkEnd w:id="6"/>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250"/>
        <w:gridCol w:w="7245"/>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时间</w:t>
            </w:r>
          </w:p>
        </w:tc>
        <w:tc>
          <w:tcPr>
            <w:tcW w:w="7245"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活动内容</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8:30-8:40</w:t>
            </w:r>
          </w:p>
        </w:tc>
        <w:tc>
          <w:tcPr>
            <w:tcW w:w="724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检查演练环境，确认备用设备、测试笔记本、应急U盘等物资到位</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8:40-8:50</w:t>
            </w:r>
          </w:p>
        </w:tc>
        <w:tc>
          <w:tcPr>
            <w:tcW w:w="724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对生产系统进行全量备份，确认备份数据可用</w:t>
            </w:r>
          </w:p>
        </w:tc>
      </w:tr>
      <w:tr>
        <w:tblPrEx>
          <w:tblW w:w="8495" w:type="dxa"/>
          <w:jc w:val="center"/>
          <w:shd w:val="clear" w:color="auto" w:fill="auto"/>
          <w:tblCellMar>
            <w:top w:w="15" w:type="dxa"/>
            <w:left w:w="15" w:type="dxa"/>
            <w:bottom w:w="15" w:type="dxa"/>
            <w:right w:w="15" w:type="dxa"/>
          </w:tblCellMar>
        </w:tblPrEx>
        <w:trPr>
          <w:trHeight w:val="0"/>
          <w:jc w:val="center"/>
        </w:trPr>
        <w:tc>
          <w:tcPr>
            <w:tcW w:w="1250"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8:50-9:00</w:t>
            </w:r>
          </w:p>
        </w:tc>
        <w:tc>
          <w:tcPr>
            <w:tcW w:w="7245"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通知客户演练计划，确认甲方参与人员就位</w:t>
            </w:r>
          </w:p>
        </w:tc>
      </w:tr>
    </w:tbl>
    <w:p>
      <w:pPr>
        <w:pStyle w:val="2"/>
        <w:bidi w:val="0"/>
        <w:rPr>
          <w:rFonts w:hint="default"/>
          <w:lang w:val="en-US" w:eastAsia="zh-CN"/>
        </w:rPr>
      </w:pPr>
      <w:bookmarkStart w:id="7" w:name="_Toc20926"/>
      <w:r>
        <w:rPr>
          <w:rFonts w:hint="default"/>
          <w:lang w:val="en-US" w:eastAsia="zh-CN"/>
        </w:rPr>
        <w:t>场景一：核心数据库服务崩溃（9:00-9:45）</w:t>
      </w:r>
      <w:bookmarkEnd w:id="7"/>
    </w:p>
    <w:p>
      <w:pPr>
        <w:pStyle w:val="a1"/>
        <w:bidi w:val="0"/>
        <w:rPr>
          <w:rFonts w:hint="default"/>
          <w:lang w:val="en-US" w:eastAsia="zh-CN"/>
        </w:rPr>
      </w:pPr>
      <w:r>
        <w:rPr>
          <w:rFonts w:hint="default"/>
          <w:lang w:val="en-US" w:eastAsia="zh-CN"/>
        </w:rPr>
        <w:t>故障模拟：模拟MySQL数据库服务突然停止，所有研发人员无法登录系统、无法查询实验数据。</w:t>
      </w:r>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741"/>
        <w:gridCol w:w="7754"/>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时间</w:t>
            </w:r>
          </w:p>
        </w:tc>
        <w:tc>
          <w:tcPr>
            <w:tcW w:w="7754"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事件</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9:00</w:t>
            </w:r>
          </w:p>
        </w:tc>
        <w:tc>
          <w:tcPr>
            <w:tcW w:w="775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模拟故障触发，数据库服务停止</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9:02</w:t>
            </w:r>
          </w:p>
        </w:tc>
        <w:tc>
          <w:tcPr>
            <w:tcW w:w="775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运维人员通过监控告警发现故障，立即电话上报应急专员何煜成</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9:04</w:t>
            </w:r>
          </w:p>
        </w:tc>
        <w:tc>
          <w:tcPr>
            <w:tcW w:w="775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应急组长池杜旺判定为Ⅱ级重大故障，启动应急响应，技术保障组介入</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9:06</w:t>
            </w:r>
          </w:p>
        </w:tc>
        <w:tc>
          <w:tcPr>
            <w:tcW w:w="775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技术保障组登录数据库服务器，确认数据库进程异常终止</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9:08</w:t>
            </w:r>
          </w:p>
        </w:tc>
        <w:tc>
          <w:tcPr>
            <w:tcW w:w="775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尝试重启数据库服务失败，决定从备份恢复</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9:12</w:t>
            </w:r>
          </w:p>
        </w:tc>
        <w:tc>
          <w:tcPr>
            <w:tcW w:w="775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从当日凌晨全量备份+增量binlog中恢复数据，恢复过程全程监控</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9:38</w:t>
            </w:r>
          </w:p>
        </w:tc>
        <w:tc>
          <w:tcPr>
            <w:tcW w:w="775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数据库恢复完成，数据完整性校验100%</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9:42</w:t>
            </w:r>
          </w:p>
        </w:tc>
        <w:tc>
          <w:tcPr>
            <w:tcW w:w="775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核心功能（实验数据录入、查询、报表生成）测试正常</w:t>
            </w:r>
          </w:p>
        </w:tc>
      </w:tr>
      <w:tr>
        <w:tblPrEx>
          <w:tblW w:w="8495" w:type="dxa"/>
          <w:jc w:val="center"/>
          <w:shd w:val="clear" w:color="auto" w:fill="auto"/>
          <w:tblCellMar>
            <w:top w:w="15" w:type="dxa"/>
            <w:left w:w="15" w:type="dxa"/>
            <w:bottom w:w="15" w:type="dxa"/>
            <w:right w:w="15" w:type="dxa"/>
          </w:tblCellMar>
        </w:tblPrEx>
        <w:trPr>
          <w:trHeight w:val="0"/>
          <w:jc w:val="center"/>
        </w:trPr>
        <w:tc>
          <w:tcPr>
            <w:tcW w:w="741"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9:45</w:t>
            </w:r>
          </w:p>
        </w:tc>
        <w:tc>
          <w:tcPr>
            <w:tcW w:w="7754"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信息联络组向客户通报恢复结果，演练转入下一场景</w:t>
            </w:r>
          </w:p>
        </w:tc>
      </w:tr>
    </w:tbl>
    <w:p>
      <w:pPr>
        <w:pStyle w:val="a1"/>
        <w:bidi w:val="0"/>
        <w:rPr>
          <w:rFonts w:hint="default"/>
          <w:lang w:val="en-US" w:eastAsia="zh-CN"/>
        </w:rPr>
      </w:pPr>
      <w:r>
        <w:rPr>
          <w:rFonts w:hint="default"/>
          <w:lang w:val="en-US" w:eastAsia="zh-CN"/>
        </w:rPr>
        <w:t>演练成果：</w:t>
      </w:r>
    </w:p>
    <w:p>
      <w:pPr>
        <w:pStyle w:val="a1"/>
        <w:bidi w:val="0"/>
        <w:rPr>
          <w:rFonts w:hint="default"/>
          <w:lang w:val="en-US" w:eastAsia="zh-CN"/>
        </w:rPr>
      </w:pPr>
      <w:r>
        <w:rPr>
          <w:rFonts w:hint="default"/>
          <w:lang w:val="en-US" w:eastAsia="zh-CN"/>
        </w:rPr>
        <w:t>故障上报时间：2分钟（优于目标≤5分钟）</w:t>
      </w:r>
    </w:p>
    <w:p>
      <w:pPr>
        <w:pStyle w:val="a1"/>
        <w:bidi w:val="0"/>
        <w:rPr>
          <w:rFonts w:hint="default"/>
          <w:lang w:val="en-US" w:eastAsia="zh-CN"/>
        </w:rPr>
      </w:pPr>
      <w:r>
        <w:rPr>
          <w:rFonts w:hint="default"/>
          <w:lang w:val="en-US" w:eastAsia="zh-CN"/>
        </w:rPr>
        <w:t>应急启动时间：4分钟（优于目标≤10分钟）</w:t>
      </w:r>
    </w:p>
    <w:p>
      <w:pPr>
        <w:pStyle w:val="a1"/>
        <w:bidi w:val="0"/>
        <w:rPr>
          <w:rFonts w:hint="default"/>
          <w:lang w:val="en-US" w:eastAsia="zh-CN"/>
        </w:rPr>
      </w:pPr>
      <w:r>
        <w:rPr>
          <w:rFonts w:hint="default"/>
          <w:lang w:val="en-US" w:eastAsia="zh-CN"/>
        </w:rPr>
        <w:t>数据库恢复时间：36分钟（优于目标≤4小时）</w:t>
      </w:r>
    </w:p>
    <w:p>
      <w:pPr>
        <w:pStyle w:val="a1"/>
        <w:bidi w:val="0"/>
        <w:rPr>
          <w:rFonts w:hint="default"/>
          <w:lang w:val="en-US" w:eastAsia="zh-CN"/>
        </w:rPr>
      </w:pPr>
      <w:r>
        <w:rPr>
          <w:rFonts w:hint="default"/>
          <w:lang w:val="en-US" w:eastAsia="zh-CN"/>
        </w:rPr>
        <w:t>数据完整性：100%</w:t>
      </w:r>
    </w:p>
    <w:p>
      <w:pPr>
        <w:pStyle w:val="2"/>
        <w:bidi w:val="0"/>
        <w:rPr>
          <w:rFonts w:hint="default"/>
          <w:lang w:val="en-US" w:eastAsia="zh-CN"/>
        </w:rPr>
      </w:pPr>
      <w:bookmarkStart w:id="8" w:name="_Toc18332"/>
      <w:r>
        <w:rPr>
          <w:rFonts w:hint="default"/>
          <w:lang w:val="en-US" w:eastAsia="zh-CN"/>
        </w:rPr>
        <w:t>场景二：勒索病毒攻击（9:50-10:25）</w:t>
      </w:r>
      <w:bookmarkEnd w:id="8"/>
    </w:p>
    <w:p>
      <w:pPr>
        <w:pStyle w:val="a1"/>
        <w:bidi w:val="0"/>
        <w:rPr>
          <w:rFonts w:hint="default"/>
          <w:lang w:val="en-US" w:eastAsia="zh-CN"/>
        </w:rPr>
      </w:pPr>
      <w:r>
        <w:rPr>
          <w:rFonts w:hint="default"/>
          <w:lang w:val="en-US" w:eastAsia="zh-CN"/>
        </w:rPr>
        <w:t>故障模拟：模拟研发中心一台终端感染勒索病毒，文件被加密并出现勒索信息，病毒尝试横向扩散至核心服务器。</w:t>
      </w:r>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928"/>
        <w:gridCol w:w="7567"/>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时间</w:t>
            </w:r>
          </w:p>
        </w:tc>
        <w:tc>
          <w:tcPr>
            <w:tcW w:w="7567"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事件</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9:50</w:t>
            </w:r>
          </w:p>
        </w:tc>
        <w:tc>
          <w:tcPr>
            <w:tcW w:w="756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模拟故障触发，终端文件被加密，出现勒索信息</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9:52</w:t>
            </w:r>
          </w:p>
        </w:tc>
        <w:tc>
          <w:tcPr>
            <w:tcW w:w="756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现场人员发现异常后立即拔掉网线隔离终端，并上报应急专员</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9:54</w:t>
            </w:r>
          </w:p>
        </w:tc>
        <w:tc>
          <w:tcPr>
            <w:tcW w:w="756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应急组长判定为Ⅰ级特别重大故障，启动Ⅰ级响应</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9:56</w:t>
            </w:r>
          </w:p>
        </w:tc>
        <w:tc>
          <w:tcPr>
            <w:tcW w:w="756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技术保障组收集病毒样本，分析传播途径</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9:58</w:t>
            </w:r>
          </w:p>
        </w:tc>
        <w:tc>
          <w:tcPr>
            <w:tcW w:w="756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技术保障组从隔离区外的备份中恢复被加密的共享文件</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10:10</w:t>
            </w:r>
          </w:p>
        </w:tc>
        <w:tc>
          <w:tcPr>
            <w:tcW w:w="756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被加密数据恢复完成</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10:12</w:t>
            </w:r>
          </w:p>
        </w:tc>
        <w:tc>
          <w:tcPr>
            <w:tcW w:w="756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技术保障组对核心服务器进行全盘扫描，确认无病毒扩散</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10:15</w:t>
            </w:r>
          </w:p>
        </w:tc>
        <w:tc>
          <w:tcPr>
            <w:tcW w:w="756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信息联络组向客户通报处置结果，说明后续漏洞修复计划</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10:18</w:t>
            </w:r>
          </w:p>
        </w:tc>
        <w:tc>
          <w:tcPr>
            <w:tcW w:w="756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制定漏洞修复方案，计划本周内完成</w:t>
            </w:r>
          </w:p>
        </w:tc>
      </w:tr>
      <w:tr>
        <w:tblPrEx>
          <w:tblW w:w="8495" w:type="dxa"/>
          <w:jc w:val="center"/>
          <w:shd w:val="clear" w:color="auto" w:fill="auto"/>
          <w:tblCellMar>
            <w:top w:w="15" w:type="dxa"/>
            <w:left w:w="15" w:type="dxa"/>
            <w:bottom w:w="15" w:type="dxa"/>
            <w:right w:w="15" w:type="dxa"/>
          </w:tblCellMar>
        </w:tblPrEx>
        <w:trPr>
          <w:trHeight w:val="0"/>
          <w:jc w:val="center"/>
        </w:trPr>
        <w:tc>
          <w:tcPr>
            <w:tcW w:w="928"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10:25</w:t>
            </w:r>
          </w:p>
        </w:tc>
        <w:tc>
          <w:tcPr>
            <w:tcW w:w="7567"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演练转入下一场景</w:t>
            </w:r>
          </w:p>
        </w:tc>
      </w:tr>
    </w:tbl>
    <w:p>
      <w:pPr>
        <w:pStyle w:val="a1"/>
        <w:bidi w:val="0"/>
        <w:rPr>
          <w:rFonts w:hint="default"/>
          <w:lang w:val="en-US" w:eastAsia="zh-CN"/>
        </w:rPr>
      </w:pPr>
      <w:r>
        <w:rPr>
          <w:rFonts w:hint="default"/>
          <w:lang w:val="en-US" w:eastAsia="zh-CN"/>
        </w:rPr>
        <w:t>演练成果：</w:t>
      </w:r>
    </w:p>
    <w:p>
      <w:pPr>
        <w:pStyle w:val="a1"/>
        <w:bidi w:val="0"/>
        <w:rPr>
          <w:rFonts w:hint="default"/>
          <w:lang w:val="en-US" w:eastAsia="zh-CN"/>
        </w:rPr>
      </w:pPr>
      <w:r>
        <w:rPr>
          <w:rFonts w:hint="default"/>
          <w:lang w:val="en-US" w:eastAsia="zh-CN"/>
        </w:rPr>
        <w:t>故障上报时间：2分钟（优于目标≤5分钟）</w:t>
      </w:r>
    </w:p>
    <w:p>
      <w:pPr>
        <w:pStyle w:val="a1"/>
        <w:bidi w:val="0"/>
        <w:rPr>
          <w:rFonts w:hint="default"/>
          <w:lang w:val="en-US" w:eastAsia="zh-CN"/>
        </w:rPr>
      </w:pPr>
      <w:r>
        <w:rPr>
          <w:rFonts w:hint="default"/>
          <w:lang w:val="en-US" w:eastAsia="zh-CN"/>
        </w:rPr>
        <w:t>应急启动时间：4分钟（优于目标≤10分钟）</w:t>
      </w:r>
    </w:p>
    <w:p>
      <w:pPr>
        <w:pStyle w:val="a1"/>
        <w:bidi w:val="0"/>
        <w:rPr>
          <w:rFonts w:hint="default"/>
          <w:lang w:val="en-US" w:eastAsia="zh-CN"/>
        </w:rPr>
      </w:pPr>
      <w:r>
        <w:rPr>
          <w:rFonts w:hint="default"/>
          <w:lang w:val="en-US" w:eastAsia="zh-CN"/>
        </w:rPr>
        <w:t>数据恢复时间：12分钟</w:t>
      </w:r>
    </w:p>
    <w:p>
      <w:pPr>
        <w:pStyle w:val="a1"/>
        <w:bidi w:val="0"/>
        <w:rPr>
          <w:rFonts w:hint="default"/>
          <w:lang w:val="en-US" w:eastAsia="zh-CN"/>
        </w:rPr>
      </w:pPr>
      <w:r>
        <w:rPr>
          <w:rFonts w:hint="default"/>
          <w:lang w:val="en-US" w:eastAsia="zh-CN"/>
        </w:rPr>
        <w:t>病毒隔离：100%有效</w:t>
      </w:r>
    </w:p>
    <w:p>
      <w:pPr>
        <w:pStyle w:val="a1"/>
        <w:bidi w:val="0"/>
        <w:rPr>
          <w:rFonts w:hint="default"/>
          <w:lang w:val="en-US" w:eastAsia="zh-CN"/>
        </w:rPr>
      </w:pPr>
      <w:r>
        <w:rPr>
          <w:rFonts w:hint="default"/>
          <w:lang w:val="en-US" w:eastAsia="zh-CN"/>
        </w:rPr>
        <w:t>核心服务器扫描：无病毒扩散</w:t>
      </w:r>
    </w:p>
    <w:p>
      <w:pPr>
        <w:pStyle w:val="2"/>
        <w:bidi w:val="0"/>
        <w:rPr>
          <w:rFonts w:hint="default"/>
          <w:lang w:val="en-US" w:eastAsia="zh-CN"/>
        </w:rPr>
      </w:pPr>
      <w:bookmarkStart w:id="9" w:name="_Toc867"/>
      <w:r>
        <w:rPr>
          <w:rFonts w:hint="default"/>
          <w:lang w:val="en-US" w:eastAsia="zh-CN"/>
        </w:rPr>
        <w:t>场景三：网络设备故障导致系统访问中断（10:30-11:00）</w:t>
      </w:r>
      <w:bookmarkEnd w:id="9"/>
    </w:p>
    <w:p>
      <w:pPr>
        <w:pStyle w:val="a1"/>
        <w:bidi w:val="0"/>
        <w:rPr>
          <w:rFonts w:hint="default"/>
          <w:lang w:val="en-US" w:eastAsia="zh-CN"/>
        </w:rPr>
      </w:pPr>
      <w:r>
        <w:rPr>
          <w:rFonts w:hint="default"/>
          <w:lang w:val="en-US" w:eastAsia="zh-CN"/>
        </w:rPr>
        <w:t>故障模拟：模拟核心交换机端口故障，导致研发中心无法访问系统。</w:t>
      </w:r>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956"/>
        <w:gridCol w:w="7539"/>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时间</w:t>
            </w:r>
          </w:p>
        </w:tc>
        <w:tc>
          <w:tcPr>
            <w:tcW w:w="7539"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事件</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10:30</w:t>
            </w:r>
          </w:p>
        </w:tc>
        <w:tc>
          <w:tcPr>
            <w:tcW w:w="75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模拟故障触发，核心交换机端口故障</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10:32</w:t>
            </w:r>
          </w:p>
        </w:tc>
        <w:tc>
          <w:tcPr>
            <w:tcW w:w="75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用户反馈无法登录，运维人员检查发现核心交换机端口灯灭</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10:34</w:t>
            </w:r>
          </w:p>
        </w:tc>
        <w:tc>
          <w:tcPr>
            <w:tcW w:w="75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现场抢险组启用备用交换机，切换链路</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10:40</w:t>
            </w:r>
          </w:p>
        </w:tc>
        <w:tc>
          <w:tcPr>
            <w:tcW w:w="75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网络恢复，系统访问正常</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10:42</w:t>
            </w:r>
          </w:p>
        </w:tc>
        <w:tc>
          <w:tcPr>
            <w:tcW w:w="75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技术保障组对网络进行稳定性测试，确认无异常</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10:45</w:t>
            </w:r>
          </w:p>
        </w:tc>
        <w:tc>
          <w:tcPr>
            <w:tcW w:w="75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信息联络组向客户通报恢复结果</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10:50</w:t>
            </w:r>
          </w:p>
        </w:tc>
        <w:tc>
          <w:tcPr>
            <w:tcW w:w="75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总指挥组织各小组汇总演练记录</w:t>
            </w:r>
          </w:p>
        </w:tc>
      </w:tr>
      <w:tr>
        <w:tblPrEx>
          <w:tblW w:w="8495" w:type="dxa"/>
          <w:jc w:val="center"/>
          <w:shd w:val="clear" w:color="auto" w:fill="auto"/>
          <w:tblCellMar>
            <w:top w:w="15" w:type="dxa"/>
            <w:left w:w="15" w:type="dxa"/>
            <w:bottom w:w="15" w:type="dxa"/>
            <w:right w:w="15" w:type="dxa"/>
          </w:tblCellMar>
        </w:tblPrEx>
        <w:trPr>
          <w:trHeight w:val="0"/>
          <w:jc w:val="center"/>
        </w:trPr>
        <w:tc>
          <w:tcPr>
            <w:tcW w:w="956"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11:00</w:t>
            </w:r>
          </w:p>
        </w:tc>
        <w:tc>
          <w:tcPr>
            <w:tcW w:w="7539"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总指挥宣布演练结束</w:t>
            </w:r>
          </w:p>
        </w:tc>
      </w:tr>
    </w:tbl>
    <w:p>
      <w:pPr>
        <w:pStyle w:val="a1"/>
        <w:bidi w:val="0"/>
        <w:rPr>
          <w:rFonts w:hint="default"/>
          <w:lang w:val="en-US" w:eastAsia="zh-CN"/>
        </w:rPr>
      </w:pPr>
      <w:r>
        <w:rPr>
          <w:rFonts w:hint="default"/>
          <w:lang w:val="en-US" w:eastAsia="zh-CN"/>
        </w:rPr>
        <w:t>演练成果：</w:t>
      </w:r>
    </w:p>
    <w:p>
      <w:pPr>
        <w:pStyle w:val="a1"/>
        <w:bidi w:val="0"/>
        <w:rPr>
          <w:rFonts w:hint="default"/>
          <w:lang w:val="en-US" w:eastAsia="zh-CN"/>
        </w:rPr>
      </w:pPr>
      <w:r>
        <w:rPr>
          <w:rFonts w:hint="default"/>
          <w:lang w:val="en-US" w:eastAsia="zh-CN"/>
        </w:rPr>
        <w:t>故障判定时间：2分钟</w:t>
      </w:r>
    </w:p>
    <w:p>
      <w:pPr>
        <w:pStyle w:val="a1"/>
        <w:bidi w:val="0"/>
        <w:rPr>
          <w:rFonts w:hint="default"/>
          <w:lang w:val="en-US" w:eastAsia="zh-CN"/>
        </w:rPr>
      </w:pPr>
      <w:r>
        <w:rPr>
          <w:rFonts w:hint="default"/>
          <w:lang w:val="en-US" w:eastAsia="zh-CN"/>
        </w:rPr>
        <w:t>网络恢复时间：10分钟（优于目标≤2小时）</w:t>
      </w:r>
    </w:p>
    <w:p>
      <w:pPr>
        <w:pStyle w:val="a1"/>
        <w:bidi w:val="0"/>
        <w:rPr>
          <w:rFonts w:hint="default"/>
          <w:lang w:val="en-US" w:eastAsia="zh-CN"/>
        </w:rPr>
      </w:pPr>
      <w:r>
        <w:rPr>
          <w:rFonts w:hint="default"/>
          <w:lang w:val="en-US" w:eastAsia="zh-CN"/>
        </w:rPr>
        <w:t>系统可用性恢复：100%</w:t>
      </w:r>
    </w:p>
    <w:p>
      <w:pPr>
        <w:pStyle w:val="1"/>
        <w:bidi w:val="0"/>
        <w:rPr>
          <w:rFonts w:hint="default"/>
          <w:lang w:val="en-US" w:eastAsia="zh-CN"/>
        </w:rPr>
      </w:pPr>
      <w:bookmarkStart w:id="10" w:name="_Toc23384"/>
      <w:r>
        <w:rPr>
          <w:rFonts w:hint="default"/>
          <w:lang w:val="en-US" w:eastAsia="zh-CN"/>
        </w:rPr>
        <w:t>演练评估</w:t>
      </w:r>
      <w:bookmarkEnd w:id="10"/>
    </w:p>
    <w:p>
      <w:pPr>
        <w:pStyle w:val="2"/>
        <w:bidi w:val="0"/>
        <w:rPr>
          <w:rFonts w:hint="default"/>
          <w:lang w:val="en-US" w:eastAsia="zh-CN"/>
        </w:rPr>
      </w:pPr>
      <w:bookmarkStart w:id="11" w:name="_Toc18253"/>
      <w:r>
        <w:rPr>
          <w:rFonts w:hint="default"/>
          <w:lang w:val="en-US" w:eastAsia="zh-CN"/>
        </w:rPr>
        <w:t>预案评估</w:t>
      </w:r>
      <w:bookmarkEnd w:id="11"/>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985"/>
        <w:gridCol w:w="7510"/>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985"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评估项</w:t>
            </w:r>
          </w:p>
        </w:tc>
        <w:tc>
          <w:tcPr>
            <w:tcW w:w="7510"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评估结果</w:t>
            </w:r>
          </w:p>
        </w:tc>
      </w:tr>
      <w:tr>
        <w:tblPrEx>
          <w:tblW w:w="8495" w:type="dxa"/>
          <w:jc w:val="center"/>
          <w:shd w:val="clear" w:color="auto" w:fill="auto"/>
          <w:tblCellMar>
            <w:top w:w="15" w:type="dxa"/>
            <w:left w:w="15" w:type="dxa"/>
            <w:bottom w:w="15" w:type="dxa"/>
            <w:right w:w="15" w:type="dxa"/>
          </w:tblCellMar>
        </w:tblPrEx>
        <w:trPr>
          <w:trHeight w:val="0"/>
          <w:jc w:val="center"/>
        </w:trPr>
        <w:tc>
          <w:tcPr>
            <w:tcW w:w="985"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适宜性</w:t>
            </w:r>
          </w:p>
        </w:tc>
        <w:tc>
          <w:tcPr>
            <w:tcW w:w="751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☑全部能够执行 □执行过程不够顺利 □明显不适宜</w:t>
            </w:r>
          </w:p>
        </w:tc>
      </w:tr>
      <w:tr>
        <w:tblPrEx>
          <w:tblW w:w="8495" w:type="dxa"/>
          <w:jc w:val="center"/>
          <w:shd w:val="clear" w:color="auto" w:fill="auto"/>
          <w:tblCellMar>
            <w:top w:w="15" w:type="dxa"/>
            <w:left w:w="15" w:type="dxa"/>
            <w:bottom w:w="15" w:type="dxa"/>
            <w:right w:w="15" w:type="dxa"/>
          </w:tblCellMar>
        </w:tblPrEx>
        <w:trPr>
          <w:trHeight w:val="0"/>
          <w:jc w:val="center"/>
        </w:trPr>
        <w:tc>
          <w:tcPr>
            <w:tcW w:w="985"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充分性</w:t>
            </w:r>
          </w:p>
        </w:tc>
        <w:tc>
          <w:tcPr>
            <w:tcW w:w="751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☑完全满足应急要求 □基本满足需要完善 □不充分，必须修改</w:t>
            </w:r>
          </w:p>
        </w:tc>
      </w:tr>
      <w:tr>
        <w:tblPrEx>
          <w:tblW w:w="8495" w:type="dxa"/>
          <w:jc w:val="center"/>
          <w:shd w:val="clear" w:color="auto" w:fill="auto"/>
          <w:tblCellMar>
            <w:top w:w="15" w:type="dxa"/>
            <w:left w:w="15" w:type="dxa"/>
            <w:bottom w:w="15" w:type="dxa"/>
            <w:right w:w="15" w:type="dxa"/>
          </w:tblCellMar>
        </w:tblPrEx>
        <w:trPr>
          <w:trHeight w:val="0"/>
          <w:jc w:val="center"/>
        </w:trPr>
        <w:tc>
          <w:tcPr>
            <w:tcW w:w="985"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覆盖范围</w:t>
            </w:r>
          </w:p>
        </w:tc>
        <w:tc>
          <w:tcPr>
            <w:tcW w:w="7510"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应急预案覆盖了医疗系统主要故障场景（数据库崩溃、安全攻击、网络故障），应急流程设计合理，资源配置明确，具备完整性和可操作性。</w:t>
            </w:r>
          </w:p>
        </w:tc>
      </w:tr>
    </w:tbl>
    <w:p>
      <w:pPr>
        <w:pStyle w:val="2"/>
        <w:bidi w:val="0"/>
        <w:rPr>
          <w:rFonts w:hint="default"/>
          <w:lang w:val="en-US" w:eastAsia="zh-CN"/>
        </w:rPr>
      </w:pPr>
      <w:bookmarkStart w:id="12" w:name="_Toc9956"/>
      <w:r>
        <w:rPr>
          <w:rFonts w:hint="default"/>
          <w:lang w:val="en-US" w:eastAsia="zh-CN"/>
        </w:rPr>
        <w:t>演练评估</w:t>
      </w:r>
      <w:bookmarkEnd w:id="12"/>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344"/>
        <w:gridCol w:w="7151"/>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344"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评估项</w:t>
            </w:r>
          </w:p>
        </w:tc>
        <w:tc>
          <w:tcPr>
            <w:tcW w:w="7151"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评估结果</w:t>
            </w:r>
          </w:p>
        </w:tc>
      </w:tr>
      <w:tr>
        <w:tblPrEx>
          <w:tblW w:w="8495" w:type="dxa"/>
          <w:jc w:val="center"/>
          <w:shd w:val="clear" w:color="auto" w:fill="auto"/>
          <w:tblCellMar>
            <w:top w:w="15" w:type="dxa"/>
            <w:left w:w="15" w:type="dxa"/>
            <w:bottom w:w="15" w:type="dxa"/>
            <w:right w:w="15" w:type="dxa"/>
          </w:tblCellMar>
        </w:tblPrEx>
        <w:trPr>
          <w:trHeight w:val="0"/>
          <w:jc w:val="center"/>
        </w:trPr>
        <w:tc>
          <w:tcPr>
            <w:tcW w:w="1344"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人员到位情况</w:t>
            </w:r>
          </w:p>
        </w:tc>
        <w:tc>
          <w:tcPr>
            <w:tcW w:w="715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☑迅速准确 □基本按时到位 □个别人员不到位</w:t>
            </w:r>
          </w:p>
        </w:tc>
      </w:tr>
      <w:tr>
        <w:tblPrEx>
          <w:tblW w:w="8495" w:type="dxa"/>
          <w:jc w:val="center"/>
          <w:shd w:val="clear" w:color="auto" w:fill="auto"/>
          <w:tblCellMar>
            <w:top w:w="15" w:type="dxa"/>
            <w:left w:w="15" w:type="dxa"/>
            <w:bottom w:w="15" w:type="dxa"/>
            <w:right w:w="15" w:type="dxa"/>
          </w:tblCellMar>
        </w:tblPrEx>
        <w:trPr>
          <w:trHeight w:val="0"/>
          <w:jc w:val="center"/>
        </w:trPr>
        <w:tc>
          <w:tcPr>
            <w:tcW w:w="1344"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职责明确情况</w:t>
            </w:r>
          </w:p>
        </w:tc>
        <w:tc>
          <w:tcPr>
            <w:tcW w:w="715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☑职责明确，操作熟练 □操作不够熟练</w:t>
            </w:r>
          </w:p>
        </w:tc>
      </w:tr>
      <w:tr>
        <w:tblPrEx>
          <w:tblW w:w="8495" w:type="dxa"/>
          <w:jc w:val="center"/>
          <w:shd w:val="clear" w:color="auto" w:fill="auto"/>
          <w:tblCellMar>
            <w:top w:w="15" w:type="dxa"/>
            <w:left w:w="15" w:type="dxa"/>
            <w:bottom w:w="15" w:type="dxa"/>
            <w:right w:w="15" w:type="dxa"/>
          </w:tblCellMar>
        </w:tblPrEx>
        <w:trPr>
          <w:trHeight w:val="0"/>
          <w:jc w:val="center"/>
        </w:trPr>
        <w:tc>
          <w:tcPr>
            <w:tcW w:w="1344"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物资到位情况</w:t>
            </w:r>
          </w:p>
        </w:tc>
        <w:tc>
          <w:tcPr>
            <w:tcW w:w="715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☑现场物资充分，全部有效 □准备不充分</w:t>
            </w:r>
          </w:p>
        </w:tc>
      </w:tr>
      <w:tr>
        <w:tblPrEx>
          <w:tblW w:w="8495" w:type="dxa"/>
          <w:jc w:val="center"/>
          <w:shd w:val="clear" w:color="auto" w:fill="auto"/>
          <w:tblCellMar>
            <w:top w:w="15" w:type="dxa"/>
            <w:left w:w="15" w:type="dxa"/>
            <w:bottom w:w="15" w:type="dxa"/>
            <w:right w:w="15" w:type="dxa"/>
          </w:tblCellMar>
        </w:tblPrEx>
        <w:trPr>
          <w:trHeight w:val="0"/>
          <w:jc w:val="center"/>
        </w:trPr>
        <w:tc>
          <w:tcPr>
            <w:tcW w:w="1344"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协调组织情况</w:t>
            </w:r>
          </w:p>
        </w:tc>
        <w:tc>
          <w:tcPr>
            <w:tcW w:w="715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☑协调基本顺利，能满足要求 □效率低，有待改进</w:t>
            </w:r>
          </w:p>
        </w:tc>
      </w:tr>
      <w:tr>
        <w:tblPrEx>
          <w:tblW w:w="8495" w:type="dxa"/>
          <w:jc w:val="center"/>
          <w:shd w:val="clear" w:color="auto" w:fill="auto"/>
          <w:tblCellMar>
            <w:top w:w="15" w:type="dxa"/>
            <w:left w:w="15" w:type="dxa"/>
            <w:bottom w:w="15" w:type="dxa"/>
            <w:right w:w="15" w:type="dxa"/>
          </w:tblCellMar>
        </w:tblPrEx>
        <w:trPr>
          <w:trHeight w:val="0"/>
          <w:jc w:val="center"/>
        </w:trPr>
        <w:tc>
          <w:tcPr>
            <w:tcW w:w="1344"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联动机制评估</w:t>
            </w:r>
          </w:p>
        </w:tc>
        <w:tc>
          <w:tcPr>
            <w:tcW w:w="7151"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与甲方信息中心联动顺畅，演练过程中甲方对接人实时接收进展通报，并对恢复结果进行确认，验证了外部沟通机制的有效性。</w:t>
            </w:r>
          </w:p>
        </w:tc>
      </w:tr>
    </w:tbl>
    <w:p>
      <w:pPr>
        <w:pStyle w:val="a1"/>
        <w:bidi w:val="0"/>
        <w:rPr>
          <w:rFonts w:hint="default"/>
          <w:lang w:val="en-US" w:eastAsia="zh-CN"/>
        </w:rPr>
      </w:pPr>
    </w:p>
    <w:p>
      <w:pPr>
        <w:pStyle w:val="2"/>
        <w:bidi w:val="0"/>
        <w:rPr>
          <w:rFonts w:hint="default"/>
          <w:lang w:val="en-US" w:eastAsia="zh-CN"/>
        </w:rPr>
      </w:pPr>
      <w:bookmarkStart w:id="13" w:name="_Toc24811"/>
      <w:r>
        <w:rPr>
          <w:rFonts w:hint="default"/>
          <w:lang w:val="en-US" w:eastAsia="zh-CN"/>
        </w:rPr>
        <w:t>指挥评估</w:t>
      </w:r>
      <w:bookmarkEnd w:id="13"/>
    </w:p>
    <w:p>
      <w:pPr>
        <w:pStyle w:val="a1"/>
        <w:bidi w:val="0"/>
        <w:rPr>
          <w:rFonts w:hint="default"/>
          <w:lang w:val="en-US" w:eastAsia="zh-CN"/>
        </w:rPr>
      </w:pPr>
      <w:r>
        <w:rPr>
          <w:rFonts w:hint="default"/>
          <w:lang w:val="en-US" w:eastAsia="zh-CN"/>
        </w:rPr>
        <w:t>应急指挥体系指令清晰、决策果断，总指挥能根据故障等级合理调配资源，信息联络组实时通报进展，指挥链条畅通。</w:t>
      </w:r>
    </w:p>
    <w:p>
      <w:pPr>
        <w:pStyle w:val="2"/>
        <w:bidi w:val="0"/>
        <w:rPr>
          <w:rFonts w:hint="default"/>
          <w:lang w:val="en-US" w:eastAsia="zh-CN"/>
        </w:rPr>
      </w:pPr>
      <w:bookmarkStart w:id="14" w:name="_Toc7909"/>
      <w:r>
        <w:rPr>
          <w:rFonts w:hint="default"/>
          <w:lang w:val="en-US" w:eastAsia="zh-CN"/>
        </w:rPr>
        <w:t>协作评估</w:t>
      </w:r>
      <w:bookmarkEnd w:id="14"/>
    </w:p>
    <w:p>
      <w:pPr>
        <w:pStyle w:val="a1"/>
        <w:bidi w:val="0"/>
        <w:rPr>
          <w:rFonts w:hint="default"/>
          <w:lang w:val="en-US" w:eastAsia="zh-CN"/>
        </w:rPr>
      </w:pPr>
      <w:r>
        <w:rPr>
          <w:rFonts w:hint="default"/>
          <w:lang w:val="en-US" w:eastAsia="zh-CN"/>
        </w:rPr>
        <w:t>技术保障组、现场抢险组、信息联络组之间配合默契，信息共享及时，职责边界清晰，未出现推诿或协调卡顿现象。</w:t>
      </w:r>
    </w:p>
    <w:p>
      <w:pPr>
        <w:pStyle w:val="2"/>
        <w:bidi w:val="0"/>
        <w:rPr>
          <w:rFonts w:hint="default"/>
          <w:lang w:val="en-US" w:eastAsia="zh-CN"/>
        </w:rPr>
      </w:pPr>
      <w:bookmarkStart w:id="15" w:name="_Toc32120"/>
      <w:r>
        <w:rPr>
          <w:rFonts w:hint="default"/>
          <w:lang w:val="en-US" w:eastAsia="zh-CN"/>
        </w:rPr>
        <w:t>总体评价</w:t>
      </w:r>
      <w:bookmarkEnd w:id="15"/>
    </w:p>
    <w:p>
      <w:pPr>
        <w:pStyle w:val="a1"/>
        <w:bidi w:val="0"/>
        <w:rPr>
          <w:rFonts w:hint="default"/>
          <w:lang w:val="en-US" w:eastAsia="zh-CN"/>
        </w:rPr>
      </w:pPr>
      <w:r>
        <w:rPr>
          <w:rFonts w:hint="default"/>
          <w:lang w:val="en-US" w:eastAsia="zh-CN"/>
        </w:rPr>
        <w:t>本次综合演练全面检验了应急体系的实用性与可靠性，各环节执行规范，响应时效、处置质量均达到或优于预定目标：</w:t>
      </w:r>
    </w:p>
    <w:p>
      <w:pPr>
        <w:pStyle w:val="a1"/>
        <w:numPr>
          <w:ilvl w:val="0"/>
          <w:numId w:val="2"/>
        </w:numPr>
        <w:bidi w:val="0"/>
        <w:ind w:left="425" w:hanging="425" w:leftChars="0" w:firstLineChars="0"/>
        <w:rPr>
          <w:rFonts w:hint="default"/>
          <w:lang w:val="en-US" w:eastAsia="zh-CN"/>
        </w:rPr>
      </w:pPr>
      <w:r>
        <w:rPr>
          <w:rFonts w:hint="default"/>
          <w:lang w:val="en-US" w:eastAsia="zh-CN"/>
        </w:rPr>
        <w:t>故障上报时间：平均2-3分钟（目标≤5分钟）</w:t>
      </w:r>
    </w:p>
    <w:p>
      <w:pPr>
        <w:pStyle w:val="a1"/>
        <w:numPr>
          <w:ilvl w:val="0"/>
          <w:numId w:val="2"/>
        </w:numPr>
        <w:bidi w:val="0"/>
        <w:ind w:left="425" w:hanging="425" w:leftChars="0" w:firstLineChars="0"/>
        <w:rPr>
          <w:rFonts w:hint="default"/>
          <w:lang w:val="en-US" w:eastAsia="zh-CN"/>
        </w:rPr>
      </w:pPr>
      <w:r>
        <w:rPr>
          <w:rFonts w:hint="default"/>
          <w:lang w:val="en-US" w:eastAsia="zh-CN"/>
        </w:rPr>
        <w:t>应急响应启动时间：平均4分钟（目标≤10分钟）</w:t>
      </w:r>
    </w:p>
    <w:p>
      <w:pPr>
        <w:pStyle w:val="a1"/>
        <w:numPr>
          <w:ilvl w:val="0"/>
          <w:numId w:val="2"/>
        </w:numPr>
        <w:bidi w:val="0"/>
        <w:ind w:left="425" w:hanging="425" w:leftChars="0" w:firstLineChars="0"/>
        <w:rPr>
          <w:rFonts w:hint="default"/>
          <w:lang w:val="en-US" w:eastAsia="zh-CN"/>
        </w:rPr>
      </w:pPr>
      <w:r>
        <w:rPr>
          <w:rFonts w:hint="default"/>
          <w:lang w:val="en-US" w:eastAsia="zh-CN"/>
        </w:rPr>
        <w:t>数据库恢复时间：36分钟（目标≤4小时）</w:t>
      </w:r>
    </w:p>
    <w:p>
      <w:pPr>
        <w:pStyle w:val="a1"/>
        <w:numPr>
          <w:ilvl w:val="0"/>
          <w:numId w:val="2"/>
        </w:numPr>
        <w:bidi w:val="0"/>
        <w:ind w:left="425" w:hanging="425" w:leftChars="0" w:firstLineChars="0"/>
        <w:rPr>
          <w:rFonts w:hint="default"/>
          <w:lang w:val="en-US" w:eastAsia="zh-CN"/>
        </w:rPr>
      </w:pPr>
      <w:r>
        <w:rPr>
          <w:rFonts w:hint="default"/>
          <w:lang w:val="en-US" w:eastAsia="zh-CN"/>
        </w:rPr>
        <w:t>网络恢复时间：10分钟（目标≤2小时）</w:t>
      </w:r>
    </w:p>
    <w:p>
      <w:pPr>
        <w:pStyle w:val="a1"/>
        <w:numPr>
          <w:ilvl w:val="0"/>
          <w:numId w:val="2"/>
        </w:numPr>
        <w:bidi w:val="0"/>
        <w:ind w:left="425" w:hanging="425" w:leftChars="0" w:firstLineChars="0"/>
        <w:rPr>
          <w:rFonts w:hint="default"/>
          <w:lang w:val="en-US" w:eastAsia="zh-CN"/>
        </w:rPr>
      </w:pPr>
      <w:r>
        <w:rPr>
          <w:rFonts w:hint="default"/>
          <w:lang w:val="en-US" w:eastAsia="zh-CN"/>
        </w:rPr>
        <w:t>数据完整性：100%</w:t>
      </w:r>
    </w:p>
    <w:p>
      <w:pPr>
        <w:pStyle w:val="a1"/>
        <w:numPr>
          <w:ilvl w:val="0"/>
          <w:numId w:val="2"/>
        </w:numPr>
        <w:bidi w:val="0"/>
        <w:ind w:left="425" w:hanging="425" w:leftChars="0" w:firstLineChars="0"/>
        <w:rPr>
          <w:rFonts w:hint="default"/>
          <w:lang w:val="en-US" w:eastAsia="zh-CN"/>
        </w:rPr>
      </w:pPr>
      <w:r>
        <w:rPr>
          <w:rFonts w:hint="default"/>
          <w:lang w:val="en-US" w:eastAsia="zh-CN"/>
        </w:rPr>
        <w:t>客户业务验证：核心功能100%可用</w:t>
      </w:r>
    </w:p>
    <w:p>
      <w:pPr>
        <w:pStyle w:val="a1"/>
        <w:bidi w:val="0"/>
        <w:rPr>
          <w:rFonts w:hint="default"/>
          <w:lang w:val="en-US" w:eastAsia="zh-CN"/>
        </w:rPr>
      </w:pPr>
      <w:r>
        <w:rPr>
          <w:rFonts w:hint="default"/>
          <w:lang w:val="en-US" w:eastAsia="zh-CN"/>
        </w:rPr>
        <w:t>演练达到了检验预案、锻炼队伍的预期目标。</w:t>
      </w:r>
    </w:p>
    <w:p>
      <w:pPr>
        <w:pStyle w:val="1"/>
        <w:bidi w:val="0"/>
        <w:rPr>
          <w:rFonts w:hint="default"/>
          <w:lang w:val="en-US" w:eastAsia="zh-CN"/>
        </w:rPr>
      </w:pPr>
      <w:bookmarkStart w:id="16" w:name="_Toc16939"/>
      <w:r>
        <w:rPr>
          <w:rFonts w:hint="default"/>
          <w:lang w:val="en-US" w:eastAsia="zh-CN"/>
        </w:rPr>
        <w:t>演练评估指标达成情况</w:t>
      </w:r>
      <w:bookmarkEnd w:id="16"/>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2413"/>
        <w:gridCol w:w="2815"/>
        <w:gridCol w:w="1633"/>
        <w:gridCol w:w="1634"/>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指标项</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目标值</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实际达成</w:t>
            </w:r>
          </w:p>
        </w:tc>
        <w:tc>
          <w:tcPr>
            <w:tcW w:w="1634"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是否达标</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故障上报时间</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≤5分钟</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2-3分钟</w:t>
            </w:r>
          </w:p>
        </w:tc>
        <w:tc>
          <w:tcPr>
            <w:tcW w:w="16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 达标</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应急响应启动时间</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≤10分钟</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4分钟</w:t>
            </w:r>
          </w:p>
        </w:tc>
        <w:tc>
          <w:tcPr>
            <w:tcW w:w="16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 达标</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数据库恢复时间</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≤4小时</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36分钟</w:t>
            </w:r>
          </w:p>
        </w:tc>
        <w:tc>
          <w:tcPr>
            <w:tcW w:w="16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 达标</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网络恢复时间</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≤2小时</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10分钟</w:t>
            </w:r>
          </w:p>
        </w:tc>
        <w:tc>
          <w:tcPr>
            <w:tcW w:w="16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 达标</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数据完整性</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恢复后数据无丢失</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100%</w:t>
            </w:r>
          </w:p>
        </w:tc>
        <w:tc>
          <w:tcPr>
            <w:tcW w:w="16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 达标</w:t>
            </w:r>
          </w:p>
        </w:tc>
      </w:tr>
      <w:tr>
        <w:tblPrEx>
          <w:tblW w:w="8495" w:type="dxa"/>
          <w:jc w:val="center"/>
          <w:shd w:val="clear" w:color="auto" w:fill="auto"/>
          <w:tblCellMar>
            <w:top w:w="15" w:type="dxa"/>
            <w:left w:w="15" w:type="dxa"/>
            <w:bottom w:w="15" w:type="dxa"/>
            <w:right w:w="15" w:type="dxa"/>
          </w:tblCellMar>
        </w:tblPrEx>
        <w:trPr>
          <w:trHeight w:val="0"/>
          <w:jc w:val="center"/>
        </w:trPr>
        <w:tc>
          <w:tcPr>
            <w:tcW w:w="2413"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客户业务验证</w:t>
            </w:r>
          </w:p>
        </w:tc>
        <w:tc>
          <w:tcPr>
            <w:tcW w:w="2815"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核心功能100%可用</w:t>
            </w:r>
          </w:p>
        </w:tc>
        <w:tc>
          <w:tcPr>
            <w:tcW w:w="1633"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100%</w:t>
            </w:r>
          </w:p>
        </w:tc>
        <w:tc>
          <w:tcPr>
            <w:tcW w:w="1634"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 达标</w:t>
            </w:r>
          </w:p>
        </w:tc>
      </w:tr>
    </w:tbl>
    <w:p>
      <w:pPr>
        <w:pStyle w:val="a1"/>
        <w:rPr>
          <w:rFonts w:hint="default"/>
          <w:lang w:val="en-US" w:eastAsia="zh-CN"/>
        </w:rPr>
      </w:pPr>
    </w:p>
    <w:p>
      <w:pPr>
        <w:pStyle w:val="1"/>
        <w:bidi w:val="0"/>
        <w:rPr>
          <w:rFonts w:hint="default"/>
          <w:lang w:val="en-US" w:eastAsia="zh-CN"/>
        </w:rPr>
      </w:pPr>
      <w:bookmarkStart w:id="17" w:name="_Toc5378"/>
      <w:r>
        <w:rPr>
          <w:rFonts w:hint="default"/>
          <w:lang w:val="en-US" w:eastAsia="zh-CN"/>
        </w:rPr>
        <w:t>存在问题与改进措施</w:t>
      </w:r>
      <w:bookmarkEnd w:id="17"/>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575"/>
        <w:gridCol w:w="2144"/>
        <w:gridCol w:w="824"/>
        <w:gridCol w:w="2688"/>
        <w:gridCol w:w="950"/>
        <w:gridCol w:w="1314"/>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575"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序号</w:t>
            </w:r>
          </w:p>
        </w:tc>
        <w:tc>
          <w:tcPr>
            <w:tcW w:w="2144"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问题描述</w:t>
            </w:r>
          </w:p>
        </w:tc>
        <w:tc>
          <w:tcPr>
            <w:tcW w:w="824"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影响程度</w:t>
            </w:r>
          </w:p>
        </w:tc>
        <w:tc>
          <w:tcPr>
            <w:tcW w:w="2688"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改进措施</w:t>
            </w:r>
          </w:p>
        </w:tc>
        <w:tc>
          <w:tcPr>
            <w:tcW w:w="950"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责任人</w:t>
            </w:r>
          </w:p>
        </w:tc>
        <w:tc>
          <w:tcPr>
            <w:tcW w:w="1314"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计划完成时间</w:t>
            </w:r>
          </w:p>
        </w:tc>
      </w:tr>
      <w:tr>
        <w:tblPrEx>
          <w:tblW w:w="8495" w:type="dxa"/>
          <w:jc w:val="center"/>
          <w:shd w:val="clear" w:color="auto" w:fill="auto"/>
          <w:tblCellMar>
            <w:top w:w="15" w:type="dxa"/>
            <w:left w:w="15" w:type="dxa"/>
            <w:bottom w:w="15" w:type="dxa"/>
            <w:right w:w="15" w:type="dxa"/>
          </w:tblCellMar>
        </w:tblPrEx>
        <w:trPr>
          <w:trHeight w:val="0"/>
          <w:jc w:val="center"/>
        </w:trPr>
        <w:tc>
          <w:tcPr>
            <w:tcW w:w="575"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w:t>
            </w:r>
          </w:p>
        </w:tc>
        <w:tc>
          <w:tcPr>
            <w:tcW w:w="2144"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备份恢复脚本部分操作依赖手工命令，影响恢复效率</w:t>
            </w:r>
          </w:p>
        </w:tc>
        <w:tc>
          <w:tcPr>
            <w:tcW w:w="824"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中</w:t>
            </w:r>
          </w:p>
        </w:tc>
        <w:tc>
          <w:tcPr>
            <w:tcW w:w="268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优化备份恢复脚本，实现一键化恢复，减少手工操作环节</w:t>
            </w:r>
          </w:p>
        </w:tc>
        <w:tc>
          <w:tcPr>
            <w:tcW w:w="950"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何煜成</w:t>
            </w:r>
          </w:p>
        </w:tc>
        <w:tc>
          <w:tcPr>
            <w:tcW w:w="131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2026年1月底</w:t>
            </w:r>
          </w:p>
        </w:tc>
      </w:tr>
      <w:tr>
        <w:tblPrEx>
          <w:tblW w:w="8495" w:type="dxa"/>
          <w:jc w:val="center"/>
          <w:shd w:val="clear" w:color="auto" w:fill="auto"/>
          <w:tblCellMar>
            <w:top w:w="15" w:type="dxa"/>
            <w:left w:w="15" w:type="dxa"/>
            <w:bottom w:w="15" w:type="dxa"/>
            <w:right w:w="15" w:type="dxa"/>
          </w:tblCellMar>
        </w:tblPrEx>
        <w:trPr>
          <w:trHeight w:val="0"/>
          <w:jc w:val="center"/>
        </w:trPr>
        <w:tc>
          <w:tcPr>
            <w:tcW w:w="575"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w:t>
            </w:r>
          </w:p>
        </w:tc>
        <w:tc>
          <w:tcPr>
            <w:tcW w:w="2144"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应急通讯录未包含夜间值班人员联系方式</w:t>
            </w:r>
          </w:p>
        </w:tc>
        <w:tc>
          <w:tcPr>
            <w:tcW w:w="824"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低</w:t>
            </w:r>
          </w:p>
        </w:tc>
        <w:tc>
          <w:tcPr>
            <w:tcW w:w="268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更新应急通讯录，增加24小时值班人员联系方式，确保夜间应急响应畅通</w:t>
            </w:r>
          </w:p>
        </w:tc>
        <w:tc>
          <w:tcPr>
            <w:tcW w:w="950"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服务台专员</w:t>
            </w:r>
          </w:p>
        </w:tc>
        <w:tc>
          <w:tcPr>
            <w:tcW w:w="131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2025年12月底</w:t>
            </w:r>
          </w:p>
        </w:tc>
      </w:tr>
      <w:tr>
        <w:tblPrEx>
          <w:tblW w:w="8495" w:type="dxa"/>
          <w:jc w:val="center"/>
          <w:shd w:val="clear" w:color="auto" w:fill="auto"/>
          <w:tblCellMar>
            <w:top w:w="15" w:type="dxa"/>
            <w:left w:w="15" w:type="dxa"/>
            <w:bottom w:w="15" w:type="dxa"/>
            <w:right w:w="15" w:type="dxa"/>
          </w:tblCellMar>
        </w:tblPrEx>
        <w:trPr>
          <w:trHeight w:val="0"/>
          <w:jc w:val="center"/>
        </w:trPr>
        <w:tc>
          <w:tcPr>
            <w:tcW w:w="575"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w:t>
            </w:r>
          </w:p>
        </w:tc>
        <w:tc>
          <w:tcPr>
            <w:tcW w:w="2144"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网络设备备用物资存放位置未明确标识</w:t>
            </w:r>
          </w:p>
        </w:tc>
        <w:tc>
          <w:tcPr>
            <w:tcW w:w="824"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低</w:t>
            </w:r>
          </w:p>
        </w:tc>
        <w:tc>
          <w:tcPr>
            <w:tcW w:w="268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明确备用物资存放位置，建立物资台账，张贴标识牌</w:t>
            </w:r>
          </w:p>
        </w:tc>
        <w:tc>
          <w:tcPr>
            <w:tcW w:w="950"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后勤支持组</w:t>
            </w:r>
          </w:p>
        </w:tc>
        <w:tc>
          <w:tcPr>
            <w:tcW w:w="131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2025年12月底</w:t>
            </w:r>
          </w:p>
        </w:tc>
      </w:tr>
      <w:tr>
        <w:tblPrEx>
          <w:tblW w:w="8495" w:type="dxa"/>
          <w:jc w:val="center"/>
          <w:shd w:val="clear" w:color="auto" w:fill="auto"/>
          <w:tblCellMar>
            <w:top w:w="15" w:type="dxa"/>
            <w:left w:w="15" w:type="dxa"/>
            <w:bottom w:w="15" w:type="dxa"/>
            <w:right w:w="15" w:type="dxa"/>
          </w:tblCellMar>
        </w:tblPrEx>
        <w:trPr>
          <w:trHeight w:val="0"/>
          <w:jc w:val="center"/>
        </w:trPr>
        <w:tc>
          <w:tcPr>
            <w:tcW w:w="575"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4</w:t>
            </w:r>
          </w:p>
        </w:tc>
        <w:tc>
          <w:tcPr>
            <w:tcW w:w="2144"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勒索病毒场景演练中，病毒样本分析依赖手工操作</w:t>
            </w:r>
          </w:p>
        </w:tc>
        <w:tc>
          <w:tcPr>
            <w:tcW w:w="824"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低</w:t>
            </w:r>
          </w:p>
        </w:tc>
        <w:tc>
          <w:tcPr>
            <w:tcW w:w="268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部署自动化病毒样本分析工具，提升分析效率</w:t>
            </w:r>
          </w:p>
        </w:tc>
        <w:tc>
          <w:tcPr>
            <w:tcW w:w="950"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技术保障组</w:t>
            </w:r>
          </w:p>
        </w:tc>
        <w:tc>
          <w:tcPr>
            <w:tcW w:w="1314"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2026年3月底</w:t>
            </w:r>
          </w:p>
        </w:tc>
      </w:tr>
    </w:tbl>
    <w:p>
      <w:pPr>
        <w:pStyle w:val="1"/>
        <w:bidi w:val="0"/>
        <w:rPr>
          <w:rFonts w:hint="default"/>
          <w:lang w:val="en-US" w:eastAsia="zh-CN"/>
        </w:rPr>
      </w:pPr>
      <w:bookmarkStart w:id="18" w:name="_Toc13086"/>
      <w:r>
        <w:rPr>
          <w:rFonts w:hint="default"/>
          <w:lang w:val="en-US" w:eastAsia="zh-CN"/>
        </w:rPr>
        <w:t>演练总结与建议</w:t>
      </w:r>
      <w:bookmarkEnd w:id="18"/>
    </w:p>
    <w:p>
      <w:pPr>
        <w:pStyle w:val="2"/>
        <w:bidi w:val="0"/>
        <w:rPr>
          <w:rFonts w:hint="default"/>
          <w:lang w:val="en-US" w:eastAsia="zh-CN"/>
        </w:rPr>
      </w:pPr>
      <w:bookmarkStart w:id="19" w:name="_Toc26774"/>
      <w:r>
        <w:rPr>
          <w:rFonts w:hint="default"/>
          <w:lang w:val="en-US" w:eastAsia="zh-CN"/>
        </w:rPr>
        <w:t>演练总结</w:t>
      </w:r>
      <w:bookmarkEnd w:id="19"/>
    </w:p>
    <w:p>
      <w:pPr>
        <w:pStyle w:val="a1"/>
        <w:bidi w:val="0"/>
        <w:rPr>
          <w:rFonts w:hint="default"/>
          <w:lang w:val="en-US" w:eastAsia="zh-CN"/>
        </w:rPr>
      </w:pPr>
      <w:r>
        <w:rPr>
          <w:rFonts w:hint="default"/>
          <w:lang w:val="en-US" w:eastAsia="zh-CN"/>
        </w:rPr>
        <w:t>应急体系运行有效：本次演练验证了应急预案的完整性和可操作性，应急组织架构运转顺畅，各小组职责明确、协同高效。</w:t>
      </w:r>
    </w:p>
    <w:p>
      <w:pPr>
        <w:pStyle w:val="a1"/>
        <w:bidi w:val="0"/>
        <w:rPr>
          <w:rFonts w:hint="default"/>
          <w:lang w:val="en-US" w:eastAsia="zh-CN"/>
        </w:rPr>
      </w:pPr>
      <w:r>
        <w:rPr>
          <w:rFonts w:hint="default"/>
          <w:lang w:val="en-US" w:eastAsia="zh-CN"/>
        </w:rPr>
        <w:t>响应时效优于目标：各场景的故障上报、应急启动、系统恢复时间均优于预案规定时限，体现了团队良好的应急响应能力。</w:t>
      </w:r>
    </w:p>
    <w:p>
      <w:pPr>
        <w:pStyle w:val="a1"/>
        <w:bidi w:val="0"/>
        <w:rPr>
          <w:rFonts w:hint="default"/>
          <w:lang w:val="en-US" w:eastAsia="zh-CN"/>
        </w:rPr>
      </w:pPr>
      <w:r>
        <w:rPr>
          <w:rFonts w:hint="default"/>
          <w:lang w:val="en-US" w:eastAsia="zh-CN"/>
        </w:rPr>
        <w:t>数据安全保障有力：数据库恢复和数据安全事件处置中，备份恢复机制有效，数据完整性得到充分保障。</w:t>
      </w:r>
    </w:p>
    <w:p>
      <w:pPr>
        <w:pStyle w:val="a1"/>
        <w:bidi w:val="0"/>
        <w:rPr>
          <w:rFonts w:hint="default"/>
          <w:lang w:val="en-US" w:eastAsia="zh-CN"/>
        </w:rPr>
      </w:pPr>
      <w:r>
        <w:rPr>
          <w:rFonts w:hint="default"/>
          <w:lang w:val="en-US" w:eastAsia="zh-CN"/>
        </w:rPr>
        <w:t>物资准备充分：演练前物资检查确认所有备用设备可用，应急物资满足演练需求。</w:t>
      </w:r>
    </w:p>
    <w:p>
      <w:pPr>
        <w:pStyle w:val="2"/>
        <w:bidi w:val="0"/>
        <w:rPr>
          <w:rFonts w:hint="default"/>
          <w:lang w:val="en-US" w:eastAsia="zh-CN"/>
        </w:rPr>
      </w:pPr>
      <w:bookmarkStart w:id="20" w:name="_Toc23993"/>
      <w:r>
        <w:rPr>
          <w:rFonts w:hint="default"/>
          <w:lang w:val="en-US" w:eastAsia="zh-CN"/>
        </w:rPr>
        <w:t>改进建议</w:t>
      </w:r>
      <w:bookmarkEnd w:id="20"/>
    </w:p>
    <w:p>
      <w:pPr>
        <w:pStyle w:val="a1"/>
        <w:bidi w:val="0"/>
        <w:rPr>
          <w:rFonts w:hint="default"/>
          <w:lang w:val="en-US" w:eastAsia="zh-CN"/>
        </w:rPr>
      </w:pPr>
      <w:r>
        <w:rPr>
          <w:rFonts w:hint="default"/>
          <w:lang w:val="en-US" w:eastAsia="zh-CN"/>
        </w:rPr>
        <w:t>优化备份恢复流程：建议将备份恢复脚本自动化，减少手工操作环节，进一步提升恢复效率。</w:t>
      </w:r>
    </w:p>
    <w:p>
      <w:pPr>
        <w:pStyle w:val="a1"/>
        <w:bidi w:val="0"/>
        <w:rPr>
          <w:rFonts w:hint="default"/>
          <w:lang w:val="en-US" w:eastAsia="zh-CN"/>
        </w:rPr>
      </w:pPr>
      <w:r>
        <w:rPr>
          <w:rFonts w:hint="default"/>
          <w:lang w:val="en-US" w:eastAsia="zh-CN"/>
        </w:rPr>
        <w:t>完善应急通讯机制：建议补充夜间值班人员联系方式，确保全天候应急响应畅通。</w:t>
      </w:r>
    </w:p>
    <w:p>
      <w:pPr>
        <w:pStyle w:val="a1"/>
        <w:bidi w:val="0"/>
        <w:rPr>
          <w:rFonts w:hint="default"/>
          <w:lang w:val="en-US" w:eastAsia="zh-CN"/>
        </w:rPr>
      </w:pPr>
      <w:r>
        <w:rPr>
          <w:rFonts w:hint="default"/>
          <w:lang w:val="en-US" w:eastAsia="zh-CN"/>
        </w:rPr>
        <w:t>加强物资管理：建议建立应急物资台账，明确存放位置，定期盘点，确保物资随时可用。</w:t>
      </w:r>
    </w:p>
    <w:p>
      <w:pPr>
        <w:pStyle w:val="a1"/>
        <w:bidi w:val="0"/>
        <w:rPr>
          <w:rFonts w:hint="default"/>
          <w:lang w:val="en-US" w:eastAsia="zh-CN"/>
        </w:rPr>
      </w:pPr>
      <w:r>
        <w:rPr>
          <w:rFonts w:hint="default"/>
          <w:lang w:val="en-US" w:eastAsia="zh-CN"/>
        </w:rPr>
        <w:t>提升自动化水平：建议部署自动化病毒样本分析工具，提升安全事件处置效率。</w:t>
      </w:r>
    </w:p>
    <w:p>
      <w:pPr>
        <w:pStyle w:val="1"/>
        <w:bidi w:val="0"/>
        <w:rPr>
          <w:rFonts w:hint="default"/>
          <w:lang w:val="en-US" w:eastAsia="zh-CN"/>
        </w:rPr>
      </w:pPr>
      <w:bookmarkStart w:id="21" w:name="_Toc12000"/>
      <w:r>
        <w:rPr>
          <w:rFonts w:hint="default"/>
          <w:lang w:val="en-US" w:eastAsia="zh-CN"/>
        </w:rPr>
        <w:t>附件</w:t>
      </w:r>
      <w:bookmarkEnd w:id="21"/>
    </w:p>
    <w:p>
      <w:pPr>
        <w:pStyle w:val="a1"/>
        <w:bidi w:val="0"/>
        <w:rPr>
          <w:rFonts w:hint="default"/>
          <w:lang w:val="en-US" w:eastAsia="zh-CN"/>
        </w:rPr>
      </w:pPr>
      <w:r>
        <w:rPr>
          <w:rFonts w:hint="default"/>
          <w:lang w:val="en-US" w:eastAsia="zh-CN"/>
        </w:rPr>
        <w:t>《应急演练评估表》</w:t>
      </w:r>
    </w:p>
    <w:p>
      <w:pPr>
        <w:pStyle w:val="a1"/>
        <w:bidi w:val="0"/>
        <w:rPr>
          <w:rFonts w:hint="default"/>
          <w:lang w:val="en-US" w:eastAsia="zh-CN"/>
        </w:rPr>
      </w:pPr>
      <w:r>
        <w:rPr>
          <w:rFonts w:hint="default"/>
          <w:lang w:val="en-US" w:eastAsia="zh-CN"/>
        </w:rPr>
        <w:t>《应急通讯联络表》</w:t>
      </w:r>
    </w:p>
    <w:p>
      <w:pPr>
        <w:pStyle w:val="a1"/>
        <w:bidi w:val="0"/>
        <w:rPr>
          <w:rFonts w:hint="default"/>
          <w:lang w:val="en-US" w:eastAsia="zh-CN"/>
        </w:rPr>
      </w:pPr>
      <w:r>
        <w:rPr>
          <w:rFonts w:hint="default"/>
          <w:lang w:val="en-US" w:eastAsia="zh-CN"/>
        </w:rPr>
        <w:t>《应急处置过程记录表》</w:t>
      </w:r>
    </w:p>
    <w:p>
      <w:pPr>
        <w:pStyle w:val="a1"/>
        <w:bidi w:val="0"/>
        <w:rPr>
          <w:rFonts w:hint="default"/>
          <w:lang w:val="en-US" w:eastAsia="zh-CN"/>
        </w:rPr>
      </w:pPr>
      <w:r>
        <w:rPr>
          <w:rFonts w:hint="default"/>
          <w:lang w:val="en-US" w:eastAsia="zh-CN"/>
        </w:rPr>
        <w:t>《演练问题整改跟踪表》</w:t>
      </w:r>
    </w:p>
    <w:sectPr>
      <w:headerReference w:type="default" r:id="rId6"/>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肇庆市天鹰生物科技有限公司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01897BBF"/>
    <w:multiLevelType w:val="singleLevel"/>
    <w:tmpl w:val="01897BBF"/>
    <w:lvl w:ilvl="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link w:val="3Char"/>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character" w:customStyle="1" w:styleId="3Char">
    <w:name w:val="柴_标题3 Char"/>
    <w:link w:val="3"/>
    <w:qFormat/>
    <w:rPr>
      <w:rFonts w:ascii="宋体" w:eastAsia="宋体" w:hAnsi="宋体" w:cs="宋体"/>
      <w:spacing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10</Pages>
  <Words>1043</Words>
  <Characters>1244</Characters>
  <Application>Microsoft Office Word</Application>
  <DocSecurity>0</DocSecurity>
  <Lines>0</Lines>
  <Paragraphs>0</Paragraphs>
  <ScaleCrop>false</ScaleCrop>
  <Company/>
  <LinksUpToDate>false</LinksUpToDate>
  <CharactersWithSpaces>1342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2026-03-21T09:30:35Z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