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9854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55"/>
      <w:r>
        <w:rPr>
          <w:rFonts w:hint="eastAsia"/>
          <w:lang w:val="en-US" w:eastAsia="zh-CN"/>
        </w:rPr>
        <w:t>2025年度</w:t>
      </w:r>
      <w:bookmarkStart w:id="2" w:name="_GoBack"/>
      <w:bookmarkEnd w:id="2"/>
      <w:r>
        <w:rPr>
          <w:rFonts w:hint="eastAsia"/>
          <w:lang w:val="en-US" w:eastAsia="zh-CN"/>
        </w:rPr>
        <w:t>运维服务能力指标完成情况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2.30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_Toc19854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_Toc19854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运维服务能力指标完成情况</w:t>
          </w:r>
          <w:r>
            <w:tab/>
          </w:r>
          <w:r>
            <w:fldChar w:fldCharType="begin"/>
          </w:r>
          <w:r>
            <w:instrText xml:space="preserve"> PAGEREF _Toc155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w:type="default" r:id="rId6"/>
          <w:pgSz w:w="11906" w:h="16838"/>
          <w:pgMar w:top="1417" w:right="1800" w:bottom="1440" w:left="1800" w:header="1140" w:footer="992" w:gutter="0"/>
          <w:cols w:num="1" w:space="425"/>
          <w:docGrid w:type="lines" w:linePitch="312" w:charSpace="0"/>
        </w:sectPr>
      </w:pPr>
    </w:p>
    <w:p>
      <w:p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tbl>
      <w:tblPr>
        <w:tblStyle w:val="TableNormal"/>
        <w:tblW w:w="14833" w:type="dxa"/>
        <w:tblInd w:w="-4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720"/>
        <w:gridCol w:w="1290"/>
        <w:gridCol w:w="599"/>
        <w:gridCol w:w="881"/>
        <w:gridCol w:w="980"/>
        <w:gridCol w:w="1000"/>
        <w:gridCol w:w="950"/>
        <w:gridCol w:w="911"/>
        <w:gridCol w:w="933"/>
        <w:gridCol w:w="947"/>
        <w:gridCol w:w="933"/>
        <w:gridCol w:w="933"/>
        <w:gridCol w:w="907"/>
        <w:gridCol w:w="707"/>
        <w:gridCol w:w="720"/>
        <w:gridCol w:w="786"/>
      </w:tblGrid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/>
        </w:trPr>
        <w:tc>
          <w:tcPr>
            <w:tcW w:w="135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</w:rPr>
              <w:t>名称</w:t>
            </w: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</w:rPr>
              <w:t>KPI</w:t>
            </w:r>
          </w:p>
        </w:tc>
        <w:tc>
          <w:tcPr>
            <w:tcW w:w="599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</w:rPr>
              <w:t>频度</w:t>
            </w:r>
          </w:p>
        </w:tc>
        <w:tc>
          <w:tcPr>
            <w:tcW w:w="88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eastAsia="宋体" w:hAnsi="仿宋" w:cs="宋体" w:hint="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</w:rPr>
              <w:t>目标值</w:t>
            </w:r>
          </w:p>
        </w:tc>
        <w:tc>
          <w:tcPr>
            <w:tcW w:w="10707" w:type="dxa"/>
            <w:gridSpan w:val="1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  <w:lang w:val="en-US" w:eastAsia="zh-CN"/>
              </w:rPr>
              <w:t>时间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/>
        </w:trPr>
        <w:tc>
          <w:tcPr>
            <w:tcW w:w="1356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</w:pPr>
          </w:p>
        </w:tc>
        <w:tc>
          <w:tcPr>
            <w:tcW w:w="1290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</w:pPr>
          </w:p>
        </w:tc>
        <w:tc>
          <w:tcPr>
            <w:tcW w:w="599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</w:pPr>
          </w:p>
        </w:tc>
        <w:tc>
          <w:tcPr>
            <w:tcW w:w="881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</w:pP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eastAsia="宋体" w:hAnsi="仿宋" w:cs="宋体" w:hint="default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2025年1月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2025年2月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2025年3月</w:t>
            </w:r>
          </w:p>
        </w:tc>
        <w:tc>
          <w:tcPr>
            <w:tcW w:w="91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2025年4月</w:t>
            </w: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2025年5月</w:t>
            </w:r>
          </w:p>
        </w:tc>
        <w:tc>
          <w:tcPr>
            <w:tcW w:w="94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2025年6月</w:t>
            </w: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2025年7月</w:t>
            </w: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2025年8月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2025年9月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2025年10月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2025年11月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2025年12月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/>
        </w:trPr>
        <w:tc>
          <w:tcPr>
            <w:tcW w:w="135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人员管理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人员储备完成率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/>
        </w:trPr>
        <w:tc>
          <w:tcPr>
            <w:tcW w:w="1356" w:type="dxa"/>
            <w:gridSpan w:val="2"/>
            <w:vMerge/>
            <w:tcBorders>
              <w:left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培训课程达成率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/>
        </w:trPr>
        <w:tc>
          <w:tcPr>
            <w:tcW w:w="1356" w:type="dxa"/>
            <w:gridSpan w:val="2"/>
            <w:vMerge/>
            <w:tcBorders>
              <w:left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人员招聘完成率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/>
        </w:trPr>
        <w:tc>
          <w:tcPr>
            <w:tcW w:w="1356" w:type="dxa"/>
            <w:gridSpan w:val="2"/>
            <w:vMerge/>
            <w:tcBorders>
              <w:left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绩效考核合格率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/>
        </w:trPr>
        <w:tc>
          <w:tcPr>
            <w:tcW w:w="1356" w:type="dxa"/>
            <w:gridSpan w:val="2"/>
            <w:vMerge/>
            <w:tcBorders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技能评定合格率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/>
        </w:trPr>
        <w:tc>
          <w:tcPr>
            <w:tcW w:w="135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技术管理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研发资金投入率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/>
        </w:trPr>
        <w:tc>
          <w:tcPr>
            <w:tcW w:w="636" w:type="dxa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资源管理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工具</w:t>
            </w:r>
          </w:p>
        </w:tc>
        <w:tc>
          <w:tcPr>
            <w:tcW w:w="129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工具自评估次数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1次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/>
        </w:trPr>
        <w:tc>
          <w:tcPr>
            <w:tcW w:w="636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服务台</w:t>
            </w:r>
          </w:p>
        </w:tc>
        <w:tc>
          <w:tcPr>
            <w:tcW w:w="129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一线问题解决率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636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备件库</w:t>
            </w:r>
          </w:p>
        </w:tc>
        <w:tc>
          <w:tcPr>
            <w:tcW w:w="129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关键备件可用率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98%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99%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99%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/>
        </w:trPr>
        <w:tc>
          <w:tcPr>
            <w:tcW w:w="636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服务知识</w:t>
            </w:r>
          </w:p>
        </w:tc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服务知识利用率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≥50%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55%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58%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60%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65%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68%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70%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72%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75%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76%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80%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80%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85%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/>
        </w:trPr>
        <w:tc>
          <w:tcPr>
            <w:tcW w:w="636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服务知识新增条目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</w:t>
            </w: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30条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35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  <w:t>48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56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4</w:t>
            </w: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/>
        </w:trPr>
        <w:tc>
          <w:tcPr>
            <w:tcW w:w="636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最终软件库</w:t>
            </w:r>
          </w:p>
        </w:tc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软件版本一致率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97.6%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/>
        </w:trPr>
        <w:tc>
          <w:tcPr>
            <w:tcW w:w="636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服务数据</w:t>
            </w:r>
          </w:p>
        </w:tc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服务数据准确率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≥98%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98.35%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99.12%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/>
        </w:trPr>
        <w:tc>
          <w:tcPr>
            <w:tcW w:w="63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过程管理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过程框架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自评估次数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1次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服务级别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SLA达成率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95%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服务报告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服务报告提交及时率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事件响应及时率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事件按时解决率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90%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91.7%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93.3%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93.3%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问题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问题解决率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95%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变更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变更成功率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发布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发布成功率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95%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配置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配置准确率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color w:val="FF0000"/>
                <w:sz w:val="15"/>
                <w:szCs w:val="15"/>
                <w:vertAlign w:val="baseline"/>
                <w:lang w:val="en-US" w:eastAsia="zh-CN"/>
              </w:rPr>
              <w:t>85%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可用性和连续性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关键服务可用率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服务中断事件数量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容量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容量事件次数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63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信息安全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信息泄露次数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≤2次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交付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交付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交付及时率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应急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应急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应急演练次数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1次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/>
        </w:trPr>
        <w:tc>
          <w:tcPr>
            <w:tcW w:w="6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质量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客户满意度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总体满意度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  <w:t>94.64%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  <w:t>95.22%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  <w:t>95.61%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  <w:t>96.59%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/>
        </w:trPr>
        <w:tc>
          <w:tcPr>
            <w:tcW w:w="6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内审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内审次数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1次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/>
        </w:trPr>
        <w:tc>
          <w:tcPr>
            <w:tcW w:w="6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管评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管评次数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1次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/>
        </w:trPr>
        <w:tc>
          <w:tcPr>
            <w:tcW w:w="14047" w:type="dxa"/>
            <w:gridSpan w:val="1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针对第二季度配置准确率不满足KPI指标的情况，采取以下措施：</w:t>
            </w:r>
          </w:p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  <w:t>1.对相关运维人员进行培训，学习配置管理制度</w:t>
            </w:r>
          </w:p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  <w:t>2.后期质量管理人员对此进行抽查，杜绝此类事件再次发生</w:t>
            </w:r>
          </w:p>
        </w:tc>
        <w:tc>
          <w:tcPr>
            <w:tcW w:w="78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6838" w:h="11906" w:orient="landscape"/>
      <w:pgMar w:top="1800" w:right="1417" w:bottom="1800" w:left="144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1054</Words>
  <Characters>1615</Characters>
  <Application>Microsoft Office Word</Application>
  <DocSecurity>0</DocSecurity>
  <Lines>0</Lines>
  <Paragraphs>0</Paragraphs>
  <ScaleCrop>false</ScaleCrop>
  <Company/>
  <LinksUpToDate>false</LinksUpToDate>
  <CharactersWithSpaces>1621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2026-03-22T06:13:01Z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