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D2A1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144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 w14:paraId="2B8E480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9382"/>
      <w:bookmarkStart w:id="2" w:name="_Toc6604"/>
      <w:r>
        <w:rPr>
          <w:rFonts w:hint="eastAsia"/>
          <w:lang w:val="en-US" w:eastAsia="zh-CN"/>
        </w:rPr>
        <w:t>2026年度运维服务能力管理计划</w:t>
      </w:r>
      <w:bookmarkEnd w:id="1"/>
      <w:bookmarkEnd w:id="2"/>
    </w:p>
    <w:p w14:paraId="2A9969E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95BC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70E2E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 w14:paraId="084753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  <w:tr w14:paraId="5F228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04A6F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6B536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  <w:tr w14:paraId="42D4C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2E802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 w14:paraId="1CAF4F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</w:tbl>
    <w:p w14:paraId="42FA410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79C051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55C239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3AB3C5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E86E4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249B0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78582F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AE33F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57900D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03</w:t>
            </w:r>
          </w:p>
        </w:tc>
        <w:tc>
          <w:tcPr>
            <w:tcW w:w="919" w:type="dxa"/>
          </w:tcPr>
          <w:p w14:paraId="6347C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53E08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475AB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 w14:paraId="545EDB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45CB39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EE896A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A6D43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1DC23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33E4B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82BA8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3BE3F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72AA3C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7C461F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8825E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203AC2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F092F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8D0859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5E54FC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43257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945FDA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44506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_Toc11446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4161A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2026年度运维服务能力管理计划</w:t>
          </w:r>
          <w:r>
            <w:tab/>
          </w:r>
          <w:r>
            <w:fldChar w:fldCharType="begin"/>
          </w:r>
          <w:r>
            <w:instrText xml:space="preserve"> PAGEREF _Toc29382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FF57F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公司现状</w:t>
          </w:r>
          <w:r>
            <w:tab/>
          </w:r>
          <w:r>
            <w:fldChar w:fldCharType="begin"/>
          </w:r>
          <w:r>
            <w:instrText xml:space="preserve"> PAGEREF _Toc2908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78E4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2025年能力管理工作回顾</w:t>
          </w:r>
          <w:r>
            <w:tab/>
          </w:r>
          <w:r>
            <w:fldChar w:fldCharType="begin"/>
          </w:r>
          <w:r>
            <w:instrText xml:space="preserve"> PAGEREF _Toc11775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E88DA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2025年主要成果</w:t>
          </w:r>
          <w:r>
            <w:tab/>
          </w:r>
          <w:r>
            <w:fldChar w:fldCharType="begin"/>
          </w:r>
          <w:r>
            <w:instrText xml:space="preserve"> PAGEREF _Toc15059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4BD6D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2025年存在的主要问题</w:t>
          </w:r>
          <w:r>
            <w:tab/>
          </w:r>
          <w:r>
            <w:fldChar w:fldCharType="begin"/>
          </w:r>
          <w:r>
            <w:instrText xml:space="preserve"> PAGEREF _Toc18507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C849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运维服务能力管理计划</w:t>
          </w:r>
          <w:r>
            <w:tab/>
          </w:r>
          <w:r>
            <w:fldChar w:fldCharType="begin"/>
          </w:r>
          <w:r>
            <w:instrText xml:space="preserve"> PAGEREF _Toc3448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E6F65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人员管理计划</w:t>
          </w:r>
          <w:r>
            <w:tab/>
          </w:r>
          <w:r>
            <w:fldChar w:fldCharType="begin"/>
          </w:r>
          <w:r>
            <w:instrText xml:space="preserve"> PAGEREF _Toc6370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A5AC5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3.1.1. 人员招聘管理计划</w:t>
          </w:r>
          <w:r>
            <w:tab/>
          </w:r>
          <w:r>
            <w:fldChar w:fldCharType="begin"/>
          </w:r>
          <w:r>
            <w:instrText xml:space="preserve"> PAGEREF _Toc15041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07C3B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3.1.2. 人员储备管理计划</w:t>
          </w:r>
          <w:r>
            <w:tab/>
          </w:r>
          <w:r>
            <w:fldChar w:fldCharType="begin"/>
          </w:r>
          <w:r>
            <w:instrText xml:space="preserve"> PAGEREF _Toc18937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53D3E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3.1.3. 人员绩效考核管理计划</w:t>
          </w:r>
          <w:r>
            <w:tab/>
          </w:r>
          <w:r>
            <w:fldChar w:fldCharType="begin"/>
          </w:r>
          <w:r>
            <w:instrText xml:space="preserve"> PAGEREF _Toc14918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93D86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3.1.4. 人员技能评定管理计划</w:t>
          </w:r>
          <w:r>
            <w:tab/>
          </w:r>
          <w:r>
            <w:fldChar w:fldCharType="begin"/>
          </w:r>
          <w:r>
            <w:instrText xml:space="preserve"> PAGEREF _Toc23093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43391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3.1.5. 人员培训管理计划</w:t>
          </w:r>
          <w:r>
            <w:tab/>
          </w:r>
          <w:r>
            <w:fldChar w:fldCharType="begin"/>
          </w:r>
          <w:r>
            <w:instrText xml:space="preserve"> PAGEREF _Toc2003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6A63A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3.1.6. 人员备份管理计划</w:t>
          </w:r>
          <w:r>
            <w:tab/>
          </w:r>
          <w:r>
            <w:fldChar w:fldCharType="begin"/>
          </w:r>
          <w:r>
            <w:instrText xml:space="preserve"> PAGEREF _Toc30443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03563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资源管理计划</w:t>
          </w:r>
          <w:r>
            <w:tab/>
          </w:r>
          <w:r>
            <w:fldChar w:fldCharType="begin"/>
          </w:r>
          <w:r>
            <w:instrText xml:space="preserve"> PAGEREF _Toc8511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0A7EA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3.2.1. 运维工具管理计划</w:t>
          </w:r>
          <w:r>
            <w:tab/>
          </w:r>
          <w:r>
            <w:fldChar w:fldCharType="begin"/>
          </w:r>
          <w:r>
            <w:instrText xml:space="preserve"> PAGEREF _Toc23835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A3721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3.2.2. 服务台管理计划</w:t>
          </w:r>
          <w:r>
            <w:tab/>
          </w:r>
          <w:r>
            <w:fldChar w:fldCharType="begin"/>
          </w:r>
          <w:r>
            <w:instrText xml:space="preserve"> PAGEREF _Toc21481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7EA2C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3.2.3. 备件库管理计划</w:t>
          </w:r>
          <w:r>
            <w:tab/>
          </w:r>
          <w:r>
            <w:fldChar w:fldCharType="begin"/>
          </w:r>
          <w:r>
            <w:instrText xml:space="preserve"> PAGEREF _Toc8075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3A8E3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3.2.4. 服务知识管理计划</w:t>
          </w:r>
          <w:r>
            <w:tab/>
          </w:r>
          <w:r>
            <w:fldChar w:fldCharType="begin"/>
          </w:r>
          <w:r>
            <w:instrText xml:space="preserve"> PAGEREF _Toc24312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D21ED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3.2.5. 最终软件库管理计划</w:t>
          </w:r>
          <w:r>
            <w:tab/>
          </w:r>
          <w:r>
            <w:fldChar w:fldCharType="begin"/>
          </w:r>
          <w:r>
            <w:instrText xml:space="preserve"> PAGEREF _Toc25193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F3466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3.2.6. 服务数据管理计划</w:t>
          </w:r>
          <w:r>
            <w:tab/>
          </w:r>
          <w:r>
            <w:fldChar w:fldCharType="begin"/>
          </w:r>
          <w:r>
            <w:instrText xml:space="preserve"> PAGEREF _Toc22748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57960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技术管理计划</w:t>
          </w:r>
          <w:r>
            <w:tab/>
          </w:r>
          <w:r>
            <w:fldChar w:fldCharType="begin"/>
          </w:r>
          <w:r>
            <w:instrText xml:space="preserve"> PAGEREF _Toc24930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21D90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3.3.1. 运维工具二次开发</w:t>
          </w:r>
          <w:r>
            <w:tab/>
          </w:r>
          <w:r>
            <w:fldChar w:fldCharType="begin"/>
          </w:r>
          <w:r>
            <w:instrText xml:space="preserve"> PAGEREF _Toc31139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8755A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3.3.2. 运维手册研发</w:t>
          </w:r>
          <w:r>
            <w:tab/>
          </w:r>
          <w:r>
            <w:fldChar w:fldCharType="begin"/>
          </w:r>
          <w:r>
            <w:instrText xml:space="preserve"> PAGEREF _Toc31506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A1D18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3.3.3. 研发团队构成</w:t>
          </w:r>
          <w:r>
            <w:tab/>
          </w:r>
          <w:r>
            <w:fldChar w:fldCharType="begin"/>
          </w:r>
          <w:r>
            <w:instrText xml:space="preserve"> PAGEREF _Toc14620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3E12E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3.3.4. 运维经费投入</w:t>
          </w:r>
          <w:r>
            <w:tab/>
          </w:r>
          <w:r>
            <w:fldChar w:fldCharType="begin"/>
          </w:r>
          <w:r>
            <w:instrText xml:space="preserve"> PAGEREF _Toc5422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786B8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3.3.5. 新技术研发</w:t>
          </w:r>
          <w:r>
            <w:tab/>
          </w:r>
          <w:r>
            <w:fldChar w:fldCharType="begin"/>
          </w:r>
          <w:r>
            <w:instrText xml:space="preserve"> PAGEREF _Toc26329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7636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过程管理计划</w:t>
          </w:r>
          <w:r>
            <w:tab/>
          </w:r>
          <w:r>
            <w:fldChar w:fldCharType="begin"/>
          </w:r>
          <w:r>
            <w:instrText xml:space="preserve"> PAGEREF _Toc1763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70166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3.4.1. 过程框架管理计划</w:t>
          </w:r>
          <w:r>
            <w:tab/>
          </w:r>
          <w:r>
            <w:fldChar w:fldCharType="begin"/>
          </w:r>
          <w:r>
            <w:instrText xml:space="preserve"> PAGEREF _Toc21399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95648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3.4.2. 服务级别管理计划</w:t>
          </w:r>
          <w:r>
            <w:tab/>
          </w:r>
          <w:r>
            <w:fldChar w:fldCharType="begin"/>
          </w:r>
          <w:r>
            <w:instrText xml:space="preserve"> PAGEREF _Toc25397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048C9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3.4.3. 服务报告管理计划</w:t>
          </w:r>
          <w:r>
            <w:tab/>
          </w:r>
          <w:r>
            <w:fldChar w:fldCharType="begin"/>
          </w:r>
          <w:r>
            <w:instrText xml:space="preserve"> PAGEREF _Toc7831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E6926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3.4.4. 事件管理计划</w:t>
          </w:r>
          <w:r>
            <w:tab/>
          </w:r>
          <w:r>
            <w:fldChar w:fldCharType="begin"/>
          </w:r>
          <w:r>
            <w:instrText xml:space="preserve"> PAGEREF _Toc2928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1EA47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3.4.5. 问题管理计划</w:t>
          </w:r>
          <w:r>
            <w:tab/>
          </w:r>
          <w:r>
            <w:fldChar w:fldCharType="begin"/>
          </w:r>
          <w:r>
            <w:instrText xml:space="preserve"> PAGEREF _Toc3805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0DC5E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3.4.6. 变更管理计划</w:t>
          </w:r>
          <w:r>
            <w:tab/>
          </w:r>
          <w:r>
            <w:fldChar w:fldCharType="begin"/>
          </w:r>
          <w:r>
            <w:instrText xml:space="preserve"> PAGEREF _Toc29146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6EF76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_Toc24454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3.4.7. 发布管理计划</w:t>
          </w:r>
          <w:r>
            <w:tab/>
          </w:r>
          <w:r>
            <w:fldChar w:fldCharType="begin"/>
          </w:r>
          <w:r>
            <w:instrText xml:space="preserve"> PAGEREF _Toc24454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C20B9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3.4.8. 配置管理计划</w:t>
          </w:r>
          <w:r>
            <w:tab/>
          </w:r>
          <w:r>
            <w:fldChar w:fldCharType="begin"/>
          </w:r>
          <w:r>
            <w:instrText xml:space="preserve"> PAGEREF _Toc30542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3809B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_Toc24450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3.4.9. 服务可用性和连续性管理计划</w:t>
          </w:r>
          <w:r>
            <w:tab/>
          </w:r>
          <w:r>
            <w:fldChar w:fldCharType="begin"/>
          </w:r>
          <w:r>
            <w:instrText xml:space="preserve"> PAGEREF _Toc24450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CB158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3.4.10. 容量管理计划</w:t>
          </w:r>
          <w:r>
            <w:tab/>
          </w:r>
          <w:r>
            <w:fldChar w:fldCharType="begin"/>
          </w:r>
          <w:r>
            <w:instrText xml:space="preserve"> PAGEREF _Toc25198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2AE4D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3.4.11. 信息安全管理计划</w:t>
          </w:r>
          <w:r>
            <w:tab/>
          </w:r>
          <w:r>
            <w:fldChar w:fldCharType="begin"/>
          </w:r>
          <w:r>
            <w:instrText xml:space="preserve"> PAGEREF _Toc2175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F7C73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交付管理计划</w:t>
          </w:r>
          <w:r>
            <w:tab/>
          </w:r>
          <w:r>
            <w:fldChar w:fldCharType="begin"/>
          </w:r>
          <w:r>
            <w:instrText xml:space="preserve"> PAGEREF _Toc9602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C646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应急管理计划</w:t>
          </w:r>
          <w:r>
            <w:tab/>
          </w:r>
          <w:r>
            <w:fldChar w:fldCharType="begin"/>
          </w:r>
          <w:r>
            <w:instrText xml:space="preserve"> PAGEREF _Toc3524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1DF6A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3.7. 质量管理计划</w:t>
          </w:r>
          <w:r>
            <w:tab/>
          </w:r>
          <w:r>
            <w:fldChar w:fldCharType="begin"/>
          </w:r>
          <w:r>
            <w:instrText xml:space="preserve"> PAGEREF _Toc4168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5D1A0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3.7.1. 内审</w:t>
          </w:r>
          <w:r>
            <w:tab/>
          </w:r>
          <w:r>
            <w:fldChar w:fldCharType="begin"/>
          </w:r>
          <w:r>
            <w:instrText xml:space="preserve"> PAGEREF _Toc11086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7275F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3.7.2. 管评</w:t>
          </w:r>
          <w:r>
            <w:tab/>
          </w:r>
          <w:r>
            <w:fldChar w:fldCharType="begin"/>
          </w:r>
          <w:r>
            <w:instrText xml:space="preserve"> PAGEREF _Toc13626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65335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3.7.3. 客户满意度</w:t>
          </w:r>
          <w:r>
            <w:tab/>
          </w:r>
          <w:r>
            <w:fldChar w:fldCharType="begin"/>
          </w:r>
          <w:r>
            <w:instrText xml:space="preserve"> PAGEREF _Toc32366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3C9C9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资源保障</w:t>
          </w:r>
          <w:r>
            <w:tab/>
          </w:r>
          <w:r>
            <w:fldChar w:fldCharType="begin"/>
          </w:r>
          <w:r>
            <w:instrText xml:space="preserve"> PAGEREF _Toc17944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2E5F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人员保障</w:t>
          </w:r>
          <w:r>
            <w:tab/>
          </w:r>
          <w:r>
            <w:fldChar w:fldCharType="begin"/>
          </w:r>
          <w:r>
            <w:instrText xml:space="preserve"> PAGEREF _Toc15542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DAFFB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经费保障</w:t>
          </w:r>
          <w:r>
            <w:tab/>
          </w:r>
          <w:r>
            <w:fldChar w:fldCharType="begin"/>
          </w:r>
          <w:r>
            <w:instrText xml:space="preserve"> PAGEREF _Toc2491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890BC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附件</w:t>
          </w:r>
          <w:r>
            <w:tab/>
          </w:r>
          <w:r>
            <w:fldChar w:fldCharType="begin"/>
          </w:r>
          <w:r>
            <w:instrText xml:space="preserve"> PAGEREF _Toc765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CAA58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C257CB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D13875F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3" w:name="_Toc2908"/>
      <w:r>
        <w:rPr>
          <w:rFonts w:hint="eastAsia"/>
          <w:lang w:val="en-US" w:eastAsia="zh-CN"/>
        </w:rPr>
        <w:t>公司现状</w:t>
      </w:r>
      <w:bookmarkEnd w:id="3"/>
    </w:p>
    <w:p w14:paraId="126EEE89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积累了医疗生物行业系统运维的丰富经验，形成了覆盖软件交付、系统运维、数据管理、信息安全、应急响应等全流程的标准化服务体系，致力于为客户提供高质量的信息技术运行维护服务，助力客户实现数字化转型与业务持续创新。</w:t>
      </w:r>
    </w:p>
    <w:p w14:paraId="48366BCA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过2025年的发展，公司运维团队已从年初的5人扩充至11人，初步构建了涵盖一线服务、技术支撑及管理协调的团队架构。2026年，公司将持续加强人员能力建设，深化ITSS三级认证成果，为业务拓展提供坚实的人才保障。</w:t>
      </w:r>
    </w:p>
    <w:p w14:paraId="0447E82C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4" w:name="_Toc11775"/>
      <w:r>
        <w:rPr>
          <w:rFonts w:hint="default"/>
          <w:lang w:val="en-US" w:eastAsia="zh-CN"/>
        </w:rPr>
        <w:t>2025年能力管理工作回顾</w:t>
      </w:r>
      <w:bookmarkEnd w:id="4"/>
    </w:p>
    <w:p w14:paraId="389A0AC1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5" w:name="_Toc15059"/>
      <w:r>
        <w:rPr>
          <w:rFonts w:hint="default"/>
          <w:lang w:val="en-US" w:eastAsia="zh-CN"/>
        </w:rPr>
        <w:t>2025年主要成果</w:t>
      </w:r>
      <w:bookmarkEnd w:id="5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0"/>
        <w:gridCol w:w="5783"/>
        <w:gridCol w:w="1132"/>
      </w:tblGrid>
      <w:tr w14:paraId="4D1DB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1C9E7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138C5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2025年达成情况</w:t>
            </w:r>
          </w:p>
        </w:tc>
        <w:tc>
          <w:tcPr>
            <w:tcW w:w="11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D6B30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</w:p>
        </w:tc>
      </w:tr>
      <w:tr w14:paraId="7E461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1B232C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人员能力建设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63551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招聘6人，储备4人，培训16项</w:t>
            </w:r>
          </w:p>
        </w:tc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AE85D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 w14:paraId="334EF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489A4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资源能力建设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7DD24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工具自评估1次，备件可用率≥95%，知识利用率≥50%</w:t>
            </w:r>
          </w:p>
        </w:tc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8C05D6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 w14:paraId="40F59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52445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技术能力建设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73BB8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禅道二次开发完成，运维手册3册，AIOps原型验证</w:t>
            </w:r>
          </w:p>
        </w:tc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A017C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 w14:paraId="0DFAE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C947C6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过程能力建设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B338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11个过程指标达标率≥95%</w:t>
            </w:r>
          </w:p>
        </w:tc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AC974E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配置管理培训后完成</w:t>
            </w:r>
          </w:p>
        </w:tc>
      </w:tr>
      <w:tr w14:paraId="10682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DF6F6B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交付与应急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C1326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交付及时率100%，应急演练1次</w:t>
            </w:r>
          </w:p>
        </w:tc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0474DD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 w14:paraId="227FB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DA76EC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质量能力</w:t>
            </w:r>
          </w:p>
        </w:tc>
        <w:tc>
          <w:tcPr>
            <w:tcW w:w="57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CC4C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客户满意度≥90%，内审1次，管评1次</w:t>
            </w:r>
          </w:p>
        </w:tc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58150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</w:tbl>
    <w:p w14:paraId="4DD8018C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6" w:name="_Toc18507"/>
      <w:r>
        <w:rPr>
          <w:rFonts w:hint="default"/>
          <w:lang w:val="en-US" w:eastAsia="zh-CN"/>
        </w:rPr>
        <w:t>2025年存在的主要问题</w:t>
      </w:r>
      <w:bookmarkEnd w:id="6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9"/>
        <w:gridCol w:w="4993"/>
        <w:gridCol w:w="2743"/>
      </w:tblGrid>
      <w:tr w14:paraId="1BD05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5DF43F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E609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问题描述</w:t>
            </w:r>
          </w:p>
        </w:tc>
        <w:tc>
          <w:tcPr>
            <w:tcW w:w="274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DF29E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</w:t>
            </w:r>
          </w:p>
        </w:tc>
      </w:tr>
      <w:tr w14:paraId="32D55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6D03C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9693F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运维工程师专业技能有待提升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EB8F9C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运维管理满意度较低</w:t>
            </w:r>
          </w:p>
        </w:tc>
      </w:tr>
      <w:tr w14:paraId="7E467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0668E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F09B6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安全日志深度分析能力不足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5E856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难以主动发现隐蔽威胁</w:t>
            </w:r>
          </w:p>
        </w:tc>
      </w:tr>
      <w:tr w14:paraId="255A1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46CA5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1766B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备份恢复脚本依赖手工操作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C612A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影响恢复效率</w:t>
            </w:r>
          </w:p>
        </w:tc>
      </w:tr>
      <w:tr w14:paraId="28C4C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46426F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385F8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第二季度配置准确率未达标（85%）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D90C19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配置管理流程需优化</w:t>
            </w:r>
          </w:p>
        </w:tc>
      </w:tr>
      <w:tr w14:paraId="3D743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5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2CA07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</w:t>
            </w:r>
          </w:p>
        </w:tc>
        <w:tc>
          <w:tcPr>
            <w:tcW w:w="49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437BC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应急通讯录未包含夜间值班人员联系方式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C20BE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夜间应急响应可能延迟</w:t>
            </w:r>
          </w:p>
        </w:tc>
      </w:tr>
    </w:tbl>
    <w:p w14:paraId="1BEB6A57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7" w:name="_Toc3448"/>
      <w:r>
        <w:rPr>
          <w:rFonts w:hint="default"/>
          <w:lang w:val="en-US" w:eastAsia="zh-CN"/>
        </w:rPr>
        <w:t>运维服务能力管理计划</w:t>
      </w:r>
      <w:bookmarkEnd w:id="7"/>
    </w:p>
    <w:p w14:paraId="6B2C0439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8" w:name="_Toc6370"/>
      <w:r>
        <w:rPr>
          <w:rFonts w:hint="default"/>
          <w:lang w:val="en-US" w:eastAsia="zh-CN"/>
        </w:rPr>
        <w:t>人员管理计划</w:t>
      </w:r>
      <w:bookmarkEnd w:id="8"/>
    </w:p>
    <w:p w14:paraId="62330124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9" w:name="_Toc15041"/>
      <w:r>
        <w:rPr>
          <w:rFonts w:hint="default"/>
          <w:lang w:val="en-US" w:eastAsia="zh-CN"/>
        </w:rPr>
        <w:t>人员招聘管理计划</w:t>
      </w:r>
      <w:bookmarkEnd w:id="9"/>
    </w:p>
    <w:p w14:paraId="617C21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根据公司2026年业务发展规划和技术研发需求，计划新增招聘3人，招聘计划如表3-1所示：</w:t>
      </w:r>
    </w:p>
    <w:p w14:paraId="6D77B9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表3-1 招聘计划表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2"/>
        <w:gridCol w:w="1647"/>
        <w:gridCol w:w="1647"/>
        <w:gridCol w:w="1417"/>
        <w:gridCol w:w="1882"/>
      </w:tblGrid>
      <w:tr w14:paraId="77811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6142DE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6EC6D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招聘岗位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2BB0E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EC65C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招聘人数</w:t>
            </w:r>
          </w:p>
        </w:tc>
        <w:tc>
          <w:tcPr>
            <w:tcW w:w="188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BC163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</w:tr>
      <w:tr w14:paraId="4E4CE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E4829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2026年第一季度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B2B7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B32B0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A3856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5697BB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</w:tr>
      <w:tr w14:paraId="078BF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EA961A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2026年第二季度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1F90B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7FEB4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56D97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04688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</w:tr>
      <w:tr w14:paraId="27B84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3E506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2026年第三季度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05FB0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8DB60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13B77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F67950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</w:tr>
      <w:tr w14:paraId="65E01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B59A6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2026年第四季度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D5053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3D3F8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5F1E0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5A4958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1C107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D9E3EC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FF090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DB9D7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1BCC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3人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616E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 w14:paraId="6F3FBD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招聘说明：</w:t>
      </w:r>
    </w:p>
    <w:p w14:paraId="43FFF2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开发工程师：为满足AIOps智能运维深化和备份恢复自动化等研发项目需求，新增1名开发工程师。</w:t>
      </w:r>
    </w:p>
    <w:p w14:paraId="1DE058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运维工程师：为支撑业务扩张、值班排班优化及运维工具应用推广，新增2名运维工程师。</w:t>
      </w:r>
    </w:p>
    <w:p w14:paraId="7FC24F78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0" w:name="_Toc18937"/>
      <w:r>
        <w:rPr>
          <w:rFonts w:hint="default"/>
          <w:lang w:val="en-US" w:eastAsia="zh-CN"/>
        </w:rPr>
        <w:t>人员储备管理计划</w:t>
      </w:r>
      <w:bookmarkEnd w:id="10"/>
    </w:p>
    <w:p w14:paraId="7EF855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为降低关键岗位的人才流失风险，保障业务连续性与稳定性，2026年人员储备计划如表3-2所示：</w:t>
      </w:r>
    </w:p>
    <w:p w14:paraId="399A84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表3-2 人员储备计划表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5"/>
        <w:gridCol w:w="916"/>
        <w:gridCol w:w="1350"/>
        <w:gridCol w:w="3634"/>
        <w:gridCol w:w="1297"/>
      </w:tblGrid>
      <w:tr w14:paraId="0B53020F">
        <w:tblPrEx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2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4501A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储备目标岗位</w:t>
            </w:r>
          </w:p>
        </w:tc>
        <w:tc>
          <w:tcPr>
            <w:tcW w:w="9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43501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储备人次</w:t>
            </w: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7A998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储备人选来源</w:t>
            </w:r>
          </w:p>
        </w:tc>
        <w:tc>
          <w:tcPr>
            <w:tcW w:w="36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1E40B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核心培养措施</w:t>
            </w:r>
          </w:p>
        </w:tc>
        <w:tc>
          <w:tcPr>
            <w:tcW w:w="129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DC882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</w:tr>
      <w:tr w14:paraId="40831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0256B7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9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34396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1BA2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现任运维项目经理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E5A04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导师制：由技术研发部经理进行技术管理辅导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轮岗实践：短期轮岗至技术研发部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授权历练：独立负责部门年度规划、预算编制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E9CD9C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</w:tr>
      <w:tr w14:paraId="1DE90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5FBB7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技术研发部经理</w:t>
            </w:r>
          </w:p>
        </w:tc>
        <w:tc>
          <w:tcPr>
            <w:tcW w:w="9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D0FE6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E0055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现任开发工程师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30918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技术管理：负责技术选型评审、代码规范制定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带队任务：作为技术组长，带领小组完成AIOps模块开发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业务接触：参与客户需求调研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6904E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2026年10月</w:t>
            </w:r>
          </w:p>
        </w:tc>
      </w:tr>
      <w:tr w14:paraId="3423C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F46E9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9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3642D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7AC87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现任质量管理专员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70D6B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导师制：由质量部经理一对一辅导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专项任务：独立负责内审策划与实施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培训学习：参加ITSS内审员培训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C2A62D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2026年11月</w:t>
            </w:r>
          </w:p>
        </w:tc>
      </w:tr>
    </w:tbl>
    <w:p w14:paraId="22C5960A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t>储备目标</w:t>
      </w:r>
      <w:r>
        <w:rPr>
          <w:rFonts w:hint="default"/>
        </w:rPr>
        <w:t>：关键岗位储备率达到100%。</w:t>
      </w:r>
    </w:p>
    <w:p w14:paraId="2A1AA1C6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1" w:name="_Toc14918"/>
      <w:r>
        <w:rPr>
          <w:rFonts w:hint="default"/>
          <w:lang w:val="en-US" w:eastAsia="zh-CN"/>
        </w:rPr>
        <w:t>人员绩效考核管理计划</w:t>
      </w:r>
      <w:bookmarkEnd w:id="11"/>
    </w:p>
    <w:p w14:paraId="2C5A6E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《人员绩效考核管理制度》每月对人员进行考核，重点考核工作业绩（SLA达成情况、事件解决率、任务完成率，权重50%）、工作能力（专业技能、问题解决能力、学习能力、运维工具使用熟练度，权重30%）、工作态度（责任心、团队协作、服务意识，权重20%）。</w:t>
      </w:r>
    </w:p>
    <w:p w14:paraId="30D250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考核目标：月度绩效考核合格率≥95%，平均绩效得分≥90分。</w:t>
      </w:r>
    </w:p>
    <w:p w14:paraId="1E929943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2" w:name="_Toc23093"/>
      <w:r>
        <w:rPr>
          <w:rFonts w:hint="default"/>
          <w:lang w:val="en-US" w:eastAsia="zh-CN"/>
        </w:rPr>
        <w:t>人员技能评定管理计划</w:t>
      </w:r>
      <w:bookmarkEnd w:id="12"/>
    </w:p>
    <w:p w14:paraId="7401FD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依据《人员技能评定管理制度》每季度对人员进行技能评定，评定维度包括专业知识（ITSS标准、运维技术、信息安全）、技能水平（故障处理能力、工具使用能力）、工作成果（项目贡献、问题解决数量）。</w:t>
      </w:r>
    </w:p>
    <w:p w14:paraId="6B7CB78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评定目标：技能评定合格率≥95%，各岗位技能等级与岗位说明书匹配。</w:t>
      </w:r>
    </w:p>
    <w:p w14:paraId="2EBAA2A2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3" w:name="_Toc2003"/>
      <w:r>
        <w:rPr>
          <w:rFonts w:hint="default"/>
          <w:lang w:val="en-US" w:eastAsia="zh-CN"/>
        </w:rPr>
        <w:t>人员培训管理计划</w:t>
      </w:r>
      <w:bookmarkEnd w:id="13"/>
    </w:p>
    <w:p w14:paraId="0370E6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为提升员工专业技能和服务意识，2026年培训计划如表3-3所示：</w:t>
      </w:r>
    </w:p>
    <w:p w14:paraId="259760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表3-3 培训计划表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3363"/>
        <w:gridCol w:w="1671"/>
        <w:gridCol w:w="1455"/>
        <w:gridCol w:w="1048"/>
      </w:tblGrid>
      <w:tr w14:paraId="2CC88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AF9D91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33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F3212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培训主题</w:t>
            </w:r>
          </w:p>
        </w:tc>
        <w:tc>
          <w:tcPr>
            <w:tcW w:w="16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D13C0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主要部门</w:t>
            </w:r>
          </w:p>
        </w:tc>
        <w:tc>
          <w:tcPr>
            <w:tcW w:w="14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7B5A0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培训时间</w:t>
            </w:r>
          </w:p>
        </w:tc>
        <w:tc>
          <w:tcPr>
            <w:tcW w:w="104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F41F1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培训方式</w:t>
            </w:r>
          </w:p>
        </w:tc>
      </w:tr>
      <w:tr w14:paraId="04D7B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AB23B9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第一季度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593DB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ITSS标准深化培训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F59EE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运维部、质量部</w:t>
            </w: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C157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BE594F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外聘</w:t>
            </w:r>
          </w:p>
        </w:tc>
      </w:tr>
      <w:tr w14:paraId="78541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5A92CF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6DAED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新员工入职培训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35200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新入职员工</w:t>
            </w: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E0831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11A1B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 w14:paraId="01B01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E6B9E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A21DE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禅道过程管理工具基础使用培训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6EB40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12220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D45E3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 w14:paraId="22FF2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9BF74C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第二季度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6818D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配置管理专项培训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E1BAB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5CC32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3B0AD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 w14:paraId="12789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74F1B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51A72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信息安全意识培训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62E16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CD07B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2FD2A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 w14:paraId="0D243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AEA86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A7170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客户沟通与投诉处理技巧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F52BE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服务台、运维部</w:t>
            </w: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00BB9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02336A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角色扮演</w:t>
            </w:r>
          </w:p>
        </w:tc>
      </w:tr>
      <w:tr w14:paraId="59B92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2B235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14C7C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DASUSM平台运维审计与安全管控培训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8312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9B11B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7934A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 w14:paraId="0E2F8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E22F3D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第三季度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10884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质量数据分析方法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3C1D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质量部、运维部</w:t>
            </w: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139D6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A00129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 w14:paraId="4DE43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14C288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2BEAA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应急响应实战演练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F94A6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4BCD4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E57BD1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</w:tr>
      <w:tr w14:paraId="6036E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45B90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8E301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AIOps技术培训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13286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技术研发部、运维部</w:t>
            </w: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9EF46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B13D2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线上培训</w:t>
            </w:r>
          </w:p>
        </w:tc>
      </w:tr>
      <w:tr w14:paraId="7FB26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2CA5AF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E6BB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阿里云飞天企业版监控工具深度应用培训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1FC7D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F919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28BA26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 w14:paraId="48F61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B8F69D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第四季度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54CD3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团队管理与领导能力提升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8ED45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部门经理、储备人员</w:t>
            </w: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A62A5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2026年10月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BCEF6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外聘</w:t>
            </w:r>
          </w:p>
        </w:tc>
      </w:tr>
      <w:tr w14:paraId="269CB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19290E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FEE3F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运维自动化技术分享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DDB5F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运维部、技术研发部</w:t>
            </w: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3BE0E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2026年11月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4AE3C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内部分享</w:t>
            </w:r>
          </w:p>
        </w:tc>
      </w:tr>
      <w:tr w14:paraId="21997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7B5523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E59F8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年度培训总结与知识沉淀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A7117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8210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6E5A29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总结会</w:t>
            </w:r>
          </w:p>
        </w:tc>
      </w:tr>
    </w:tbl>
    <w:p w14:paraId="58391F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培训保障机制：</w:t>
      </w:r>
    </w:p>
    <w:p w14:paraId="4DEF230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预算支持：公司设立专项培训经费10万元，用于支付外部讲师、课程费用及认证考试费。</w:t>
      </w:r>
    </w:p>
    <w:p w14:paraId="711A84D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效果评估：每次培训后通过问卷或考试进行评估，运维工具类培训增加实操考核环节。</w:t>
      </w:r>
    </w:p>
    <w:p w14:paraId="20D25A4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与绩效挂钩：将培训参与度与完成情况纳入个人年度绩效考核的“能力与行为”维度。</w:t>
      </w:r>
    </w:p>
    <w:p w14:paraId="496A79CC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4" w:name="_Toc30443"/>
      <w:r>
        <w:rPr>
          <w:rFonts w:hint="default"/>
          <w:lang w:val="en-US" w:eastAsia="zh-CN"/>
        </w:rPr>
        <w:t>人员备份管理计划</w:t>
      </w:r>
      <w:bookmarkEnd w:id="14"/>
    </w:p>
    <w:p w14:paraId="3910DD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关键岗位AB岗备份安排如表3-4所示：</w:t>
      </w:r>
    </w:p>
    <w:p w14:paraId="637861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表3-4 关键岗位备份表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6"/>
        <w:gridCol w:w="2053"/>
        <w:gridCol w:w="2304"/>
        <w:gridCol w:w="2102"/>
      </w:tblGrid>
      <w:tr w14:paraId="2D990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E8701D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关键岗位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1DEBF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主要备份人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2089B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次要备份人</w:t>
            </w:r>
          </w:p>
        </w:tc>
        <w:tc>
          <w:tcPr>
            <w:tcW w:w="21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C0623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工作交接内容</w:t>
            </w:r>
          </w:p>
        </w:tc>
      </w:tr>
      <w:tr w14:paraId="59CFD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06AA3D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0ACC8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C4233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技术研发部经理</w:t>
            </w:r>
          </w:p>
        </w:tc>
        <w:tc>
          <w:tcPr>
            <w:tcW w:w="21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AD1F9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核心联系人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审批权限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应急指挥权限</w:t>
            </w:r>
          </w:p>
        </w:tc>
      </w:tr>
      <w:tr w14:paraId="051EC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68A98D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45AF6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8168F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21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138198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系统架构文档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代码仓库权限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研发进度跟踪</w:t>
            </w:r>
          </w:p>
        </w:tc>
      </w:tr>
      <w:tr w14:paraId="63C4C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98FD2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87153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FEAD6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21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98543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质量数据统计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内审计划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改进跟踪</w:t>
            </w:r>
          </w:p>
        </w:tc>
      </w:tr>
      <w:tr w14:paraId="4EC40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D2B3D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采购专员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4B203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采购部经理</w:t>
            </w:r>
          </w:p>
        </w:tc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4F01B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备品备件管理员</w:t>
            </w:r>
          </w:p>
        </w:tc>
        <w:tc>
          <w:tcPr>
            <w:tcW w:w="21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81C33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供应商联络表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采购清单</w:t>
            </w:r>
          </w:p>
        </w:tc>
      </w:tr>
    </w:tbl>
    <w:p w14:paraId="13FE7A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备份要求：备份人员需掌握所备份岗位的核心工作流程；每半年组织一次备份人员交叉培训；备份人员每年至少参与一次实际接替演练。</w:t>
      </w:r>
    </w:p>
    <w:p w14:paraId="44A94F22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5" w:name="_Toc8511"/>
      <w:r>
        <w:rPr>
          <w:rFonts w:hint="default"/>
          <w:lang w:val="en-US" w:eastAsia="zh-CN"/>
        </w:rPr>
        <w:t>资源管理计划</w:t>
      </w:r>
      <w:bookmarkEnd w:id="15"/>
    </w:p>
    <w:p w14:paraId="0E4CE896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6" w:name="_Toc23835"/>
      <w:r>
        <w:rPr>
          <w:rFonts w:hint="default"/>
          <w:lang w:val="en-US" w:eastAsia="zh-CN"/>
        </w:rPr>
        <w:t>运维工具管理计划</w:t>
      </w:r>
      <w:bookmarkEnd w:id="16"/>
    </w:p>
    <w:p w14:paraId="442D52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具管理以年度为周期进行考核，核心考核指标为年度自评估执行次数，目标值≥1次。由运维部牵头组织年度自评估，重点评估备份恢复自动化、监控阈值优化等新功能的实际应用效果，评估结果作为工具优化改进的依据。</w:t>
      </w:r>
    </w:p>
    <w:p w14:paraId="1D50B454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7" w:name="_Toc21481"/>
      <w:r>
        <w:rPr>
          <w:rFonts w:hint="default"/>
          <w:lang w:val="en-US" w:eastAsia="zh-CN"/>
        </w:rPr>
        <w:t>服务台管理计划</w:t>
      </w:r>
      <w:bookmarkEnd w:id="17"/>
    </w:p>
    <w:p w14:paraId="606B9BB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管理以月度为核心考核周期，核心指标为一线问题解决率，目标值为≥90%。由运维部负责日常运营，质量部按月统计指标达成情况，评估结果纳入服务台人员绩效考核。2026年重点加强应急通讯保障，完善24小时值班联系方式。</w:t>
      </w:r>
    </w:p>
    <w:p w14:paraId="3ED18157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18" w:name="_Toc8075"/>
      <w:r>
        <w:rPr>
          <w:rFonts w:hint="default"/>
          <w:lang w:val="en-US" w:eastAsia="zh-CN"/>
        </w:rPr>
        <w:t>备件库管理计划</w:t>
      </w:r>
      <w:bookmarkEnd w:id="18"/>
    </w:p>
    <w:p w14:paraId="59FF1A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备件库管理以季度为考核周期，核心指标为关键备件可用率，目标值为≥95%。由采购部负责库存管理与供应保障，质量部按季度统计指标达成情况，评估结果作为供应商管理与采购策略优化的依据。</w:t>
      </w:r>
    </w:p>
    <w:p w14:paraId="50956B11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9" w:name="_Toc24312"/>
      <w:r>
        <w:rPr>
          <w:rFonts w:hint="default"/>
          <w:lang w:val="en-US" w:eastAsia="zh-CN"/>
        </w:rPr>
        <w:t>服务知识管理计划</w:t>
      </w:r>
      <w:bookmarkEnd w:id="19"/>
    </w:p>
    <w:p w14:paraId="4B9332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服务知识管理实行月度与季度双周期考核。核心指标包括知识库使用率（月度≥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0%）和知识新增量（季度≥30条）。由服务台负责知识录入与应用推广，质量部按周期统计指标达成情况，评估结果纳入服务台团队绩效考核。2026年重点将AIOps、备份恢复自动化等新技术应用经验沉淀至知识库。</w:t>
      </w:r>
    </w:p>
    <w:p w14:paraId="0D450321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0" w:name="_Toc25193"/>
      <w:r>
        <w:rPr>
          <w:rFonts w:hint="default"/>
          <w:lang w:val="en-US" w:eastAsia="zh-CN"/>
        </w:rPr>
        <w:t>最终软件库管理计划</w:t>
      </w:r>
      <w:bookmarkEnd w:id="20"/>
    </w:p>
    <w:p w14:paraId="008477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最终软件库管理以年度为考核周期，核心指标为软件版本一致率，目标值为≥95%。由技术研发部负责最终软件库的维护与版本控制，质量部按年度统计指标达成情况，评估结果作为发布管理流程优化的重要依据。</w:t>
      </w:r>
    </w:p>
    <w:p w14:paraId="18C5856C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1" w:name="_Toc22748"/>
      <w:r>
        <w:rPr>
          <w:rFonts w:hint="default"/>
          <w:lang w:val="en-US" w:eastAsia="zh-CN"/>
        </w:rPr>
        <w:t>服务数据管理计划</w:t>
      </w:r>
      <w:bookmarkEnd w:id="21"/>
    </w:p>
    <w:p w14:paraId="7442D2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服务数据管理以季度为考核周期，核心指标为服务数据准确率，目标值为≥98%。由运维部负责数据录入与维护，质量部按季度抽查审计，评估结果纳入运维团队绩效考核并作为数据质量改进依据。</w:t>
      </w:r>
    </w:p>
    <w:p w14:paraId="238DE26E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2" w:name="_Toc24930"/>
      <w:r>
        <w:rPr>
          <w:rFonts w:hint="default"/>
          <w:lang w:val="en-US" w:eastAsia="zh-CN"/>
        </w:rPr>
        <w:t>技术管理计划</w:t>
      </w:r>
      <w:bookmarkEnd w:id="22"/>
    </w:p>
    <w:p w14:paraId="0D5916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针对2025年暴露的备份恢复依赖手工操作、安全日志分析能力不足等问题，2026年计划投入研发经费35万元，重点推进以下项目：</w:t>
      </w:r>
    </w:p>
    <w:p w14:paraId="7C653385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3" w:name="_Toc31139"/>
      <w:r>
        <w:rPr>
          <w:rFonts w:hint="default"/>
          <w:lang w:val="en-US" w:eastAsia="zh-CN"/>
        </w:rPr>
        <w:t>运维工具二次开发</w:t>
      </w:r>
      <w:bookmarkEnd w:id="23"/>
    </w:p>
    <w:p w14:paraId="3EC858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表3-5 研发进度表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7"/>
        <w:gridCol w:w="2070"/>
        <w:gridCol w:w="5078"/>
      </w:tblGrid>
      <w:tr w14:paraId="75852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39D619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研发阶段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1254A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计划时间</w:t>
            </w:r>
          </w:p>
        </w:tc>
        <w:tc>
          <w:tcPr>
            <w:tcW w:w="507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BE85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</w:tr>
      <w:tr w14:paraId="7E270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794E0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需求分析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F62C2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5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0C066D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收集备份恢复需求，梳理现有脚本问题</w:t>
            </w:r>
          </w:p>
        </w:tc>
      </w:tr>
      <w:tr w14:paraId="54AA8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D0515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方案设计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6378C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5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59610B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设计一键化备份恢复方案，制定技术架构</w:t>
            </w:r>
          </w:p>
        </w:tc>
      </w:tr>
      <w:tr w14:paraId="3E374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DB39B2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开发实现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AE218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2026年4-5月</w:t>
            </w:r>
          </w:p>
        </w:tc>
        <w:tc>
          <w:tcPr>
            <w:tcW w:w="5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251207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开发备份恢复自动化脚本，集成至禅道</w:t>
            </w:r>
          </w:p>
        </w:tc>
      </w:tr>
      <w:tr w14:paraId="0B029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E042B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37E2A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5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75117A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单元测试、集成测试、恢复演练验证</w:t>
            </w:r>
          </w:p>
        </w:tc>
      </w:tr>
      <w:tr w14:paraId="54AFC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2D6033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上线运行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37BDE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50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D76761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正式部署，纳入日常运维流程</w:t>
            </w:r>
          </w:p>
        </w:tc>
      </w:tr>
    </w:tbl>
    <w:p w14:paraId="6075D1F7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4" w:name="_Toc31506"/>
      <w:r>
        <w:rPr>
          <w:rFonts w:hint="default"/>
          <w:lang w:val="en-US" w:eastAsia="zh-CN"/>
        </w:rPr>
        <w:t>运维手册研发</w:t>
      </w:r>
      <w:bookmarkEnd w:id="24"/>
    </w:p>
    <w:p w14:paraId="54C874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表3-6 运维手册研发计划表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4"/>
        <w:gridCol w:w="4414"/>
        <w:gridCol w:w="1747"/>
        <w:gridCol w:w="1550"/>
      </w:tblGrid>
      <w:tr w14:paraId="5E647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D5878A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A18AD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手册名称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79BD4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计划时间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6A77E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 w14:paraId="2A4C7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D1B056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A12A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MySQL数据库备份与恢复操作手册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01D0B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EE4942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</w:t>
            </w:r>
          </w:p>
        </w:tc>
      </w:tr>
      <w:tr w14:paraId="6D49D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185C6A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7D536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Linux系统巡检与性能调优指南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82537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2220B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</w:t>
            </w:r>
          </w:p>
        </w:tc>
      </w:tr>
      <w:tr w14:paraId="2D9BE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76D0E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28041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应急响应标准化操作手册（SOP）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222DF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10E1CA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387F6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CE70B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4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5E886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常见故障排查手册（硬件篇）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F08FE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55A63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</w:tbl>
    <w:p w14:paraId="1E7A09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58111AE0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5" w:name="_Toc14620"/>
      <w:r>
        <w:rPr>
          <w:rFonts w:hint="default"/>
          <w:lang w:val="en-US" w:eastAsia="zh-CN"/>
        </w:rPr>
        <w:t>研发团队构成</w:t>
      </w:r>
      <w:bookmarkEnd w:id="25"/>
    </w:p>
    <w:p w14:paraId="081512D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表3-7 人员配置表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2"/>
        <w:gridCol w:w="2002"/>
        <w:gridCol w:w="4231"/>
      </w:tblGrid>
      <w:tr w14:paraId="5F5CD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5FC89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职位名称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8651C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42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0E9C4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职责描述</w:t>
            </w:r>
          </w:p>
        </w:tc>
      </w:tr>
      <w:tr w14:paraId="5B0E4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CEE477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3CF1B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</w:t>
            </w:r>
          </w:p>
        </w:tc>
        <w:tc>
          <w:tcPr>
            <w:tcW w:w="42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D15292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总体规划研发进度</w:t>
            </w:r>
          </w:p>
        </w:tc>
      </w:tr>
      <w:tr w14:paraId="4F60A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74A40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F44D4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</w:t>
            </w:r>
          </w:p>
        </w:tc>
        <w:tc>
          <w:tcPr>
            <w:tcW w:w="42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C14D5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编码、单元测试、脚本开发</w:t>
            </w:r>
          </w:p>
        </w:tc>
      </w:tr>
      <w:tr w14:paraId="55730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6D5AE8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0983C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42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FBC069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需求收集、试用验证、反馈优化</w:t>
            </w:r>
          </w:p>
        </w:tc>
      </w:tr>
      <w:tr w14:paraId="36851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CD9D8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DB726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42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5D951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跟进研发质量</w:t>
            </w:r>
          </w:p>
        </w:tc>
      </w:tr>
      <w:tr w14:paraId="16AE7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6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80C8EF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需求分析师</w:t>
            </w:r>
          </w:p>
        </w:tc>
        <w:tc>
          <w:tcPr>
            <w:tcW w:w="20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4F857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</w:t>
            </w:r>
          </w:p>
        </w:tc>
        <w:tc>
          <w:tcPr>
            <w:tcW w:w="42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60F79A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收集分析需求，编写需求文档</w:t>
            </w:r>
          </w:p>
        </w:tc>
      </w:tr>
    </w:tbl>
    <w:p w14:paraId="6FB039CF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6" w:name="_Toc5422"/>
      <w:r>
        <w:rPr>
          <w:rFonts w:hint="default"/>
          <w:lang w:val="en-US" w:eastAsia="zh-CN"/>
        </w:rPr>
        <w:t>运维经费投入</w:t>
      </w:r>
      <w:bookmarkEnd w:id="26"/>
    </w:p>
    <w:p w14:paraId="445E32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表3-8 研发经费投入计划表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8"/>
        <w:gridCol w:w="2345"/>
        <w:gridCol w:w="2087"/>
        <w:gridCol w:w="3275"/>
      </w:tblGrid>
      <w:tr w14:paraId="6F7BD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5CD05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CC299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开支项目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7C70A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金额（万元）</w:t>
            </w:r>
          </w:p>
        </w:tc>
        <w:tc>
          <w:tcPr>
            <w:tcW w:w="327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8659A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14F1F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17F7B3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C8704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人力资源成本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1BB7B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36501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研发团队薪酬、绩效</w:t>
            </w:r>
          </w:p>
        </w:tc>
      </w:tr>
      <w:tr w14:paraId="2BA7A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2947A8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BABDA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测试与授权费用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3A1E2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2.0</w:t>
            </w: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87D2C1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软件测试、第三方服务</w:t>
            </w:r>
          </w:p>
        </w:tc>
      </w:tr>
      <w:tr w14:paraId="5359A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D64C46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05186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云服务器费用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0ECA5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3.0</w:t>
            </w: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9E9B7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AIOps测试环境、生产环境</w:t>
            </w:r>
          </w:p>
        </w:tc>
      </w:tr>
      <w:tr w14:paraId="2A83E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E282E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312B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培训与咨询费用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B4B95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2.0</w:t>
            </w: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F794F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新技术培训、外部咨询</w:t>
            </w:r>
          </w:p>
        </w:tc>
      </w:tr>
      <w:tr w14:paraId="22225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F95684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2400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手册研发成本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9C0FF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2.5</w:t>
            </w: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9058D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手册编写、排版、印刷</w:t>
            </w:r>
          </w:p>
        </w:tc>
      </w:tr>
      <w:tr w14:paraId="5943C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B521ED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13850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应急预留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C5330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1.5</w:t>
            </w: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C1EF8C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突发需求、紧急采购</w:t>
            </w:r>
          </w:p>
        </w:tc>
      </w:tr>
      <w:tr w14:paraId="34AE1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8F85D4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478E9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30A01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35.0</w:t>
            </w: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909FB2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 w14:paraId="481DEDB7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7" w:name="_Toc26329"/>
      <w:r>
        <w:rPr>
          <w:rFonts w:hint="default"/>
          <w:lang w:val="en-US" w:eastAsia="zh-CN"/>
        </w:rPr>
        <w:t>新技术研发</w:t>
      </w:r>
      <w:bookmarkEnd w:id="27"/>
    </w:p>
    <w:p w14:paraId="6B51DF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探索AIOps智能运维与可观测性技术栈。计划在2026年第四季度，完成智能告警收敛模块的开发与集成，在西安国豪项目进行试点应用，实现智能告警收敛与自动化故障处理的初步能力，并与禅道流程平台进行集成验证。</w:t>
      </w:r>
    </w:p>
    <w:p w14:paraId="19381E7A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8" w:name="_Toc1763"/>
      <w:r>
        <w:rPr>
          <w:rFonts w:hint="default"/>
          <w:lang w:val="en-US" w:eastAsia="zh-CN"/>
        </w:rPr>
        <w:t>过程管理计划</w:t>
      </w:r>
      <w:bookmarkEnd w:id="28"/>
    </w:p>
    <w:p w14:paraId="6A44CD93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9" w:name="_Toc21399"/>
      <w:r>
        <w:rPr>
          <w:rFonts w:hint="default"/>
          <w:lang w:val="en-US" w:eastAsia="zh-CN"/>
        </w:rPr>
        <w:t>过程框架管理计划</w:t>
      </w:r>
      <w:bookmarkEnd w:id="29"/>
    </w:p>
    <w:p w14:paraId="6054FE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过程框架管理以年度为考核周期，核心指标为过程框架自评估完成率，目标值为年度不少于1次全面评估。由运维部负责组织评估实施，质量部负责监督评估过程，评估结果作为过程体系持续改进的重要依据。</w:t>
      </w:r>
    </w:p>
    <w:p w14:paraId="4FC84CAB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30" w:name="_Toc25397"/>
      <w:r>
        <w:rPr>
          <w:rFonts w:hint="default"/>
          <w:lang w:val="en-US" w:eastAsia="zh-CN"/>
        </w:rPr>
        <w:t>服务级别管理计划</w:t>
      </w:r>
      <w:bookmarkEnd w:id="30"/>
    </w:p>
    <w:p w14:paraId="2F6EAD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服务级别管理以季度为考核周期，核心指标为SLA达成率，目标值为≥95%。由运维部负责服务级别协议的执行与监控，质量部按季度统计指标达成情况，评估结果作为服务改进和资源配置的重要依据。</w:t>
      </w:r>
    </w:p>
    <w:p w14:paraId="59DE5D4A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31" w:name="_Toc7831"/>
      <w:r>
        <w:rPr>
          <w:rFonts w:hint="default"/>
          <w:lang w:val="en-US" w:eastAsia="zh-CN"/>
        </w:rPr>
        <w:t>服务报告管理计划</w:t>
      </w:r>
      <w:bookmarkEnd w:id="31"/>
    </w:p>
    <w:p w14:paraId="1A2EE9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服务报告管理以季度为考核周期，核心指标为服务报告提交及时率，目标值为≥95%。由运维部负责服务报告的编制与提交，质量部负责报告质量审核，评估结果纳入服务报告流程优化依据。</w:t>
      </w:r>
    </w:p>
    <w:p w14:paraId="506CBA95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32" w:name="_Toc2928"/>
      <w:r>
        <w:rPr>
          <w:rFonts w:hint="default"/>
          <w:lang w:val="en-US" w:eastAsia="zh-CN"/>
        </w:rPr>
        <w:t>事件管理计划</w:t>
      </w:r>
      <w:bookmarkEnd w:id="32"/>
    </w:p>
    <w:p w14:paraId="389521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事件管理以月度为核心考核周期，核心指标包括事件响应及时率（≥95%）和事件按时解决率（≥90%）。由运维部负责事件全过程处理，质量部按月统计指标数据，评估结果作为事件管理流程优化的重要依据。</w:t>
      </w:r>
    </w:p>
    <w:p w14:paraId="6D07ABB5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33" w:name="_Toc3805"/>
      <w:r>
        <w:rPr>
          <w:rFonts w:hint="default"/>
          <w:lang w:val="en-US" w:eastAsia="zh-CN"/>
        </w:rPr>
        <w:t>问题管理计划</w:t>
      </w:r>
      <w:bookmarkEnd w:id="33"/>
    </w:p>
    <w:p w14:paraId="4E0F43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问题管理以季度为考核周期，核心指标为问题解决率，目标值为≥95%。由运维部负责问题分析及解决，质量部按季度跟踪问题处理进展，评估结果作为问题管理流程持续改进的依据。</w:t>
      </w:r>
    </w:p>
    <w:p w14:paraId="36EFF277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34" w:name="_Toc29146"/>
      <w:r>
        <w:rPr>
          <w:rFonts w:hint="default"/>
          <w:lang w:val="en-US" w:eastAsia="zh-CN"/>
        </w:rPr>
        <w:t>变更管理计划</w:t>
      </w:r>
      <w:bookmarkEnd w:id="34"/>
    </w:p>
    <w:p w14:paraId="674447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变更管理以季度为考核周期，核心指标为变更成功率，目标值为≥95%。由运维部负责变更实施，质量部负责监控变更过程，评估结果作为变更流程优化和风险控制的重要依据。</w:t>
      </w:r>
    </w:p>
    <w:p w14:paraId="0522D979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35" w:name="_Toc24454"/>
      <w:r>
        <w:rPr>
          <w:rFonts w:hint="default"/>
          <w:lang w:val="en-US" w:eastAsia="zh-CN"/>
        </w:rPr>
        <w:t>发布管理计划</w:t>
      </w:r>
      <w:bookmarkEnd w:id="35"/>
    </w:p>
    <w:p w14:paraId="63405E6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发布管理以季度为考核周期，核心指标为发布成功率，目标值为≥95%。由运维部负责发布执行，质量部负责发布质量监控，评估结果作为发布流程持续改进的重要依据。</w:t>
      </w:r>
    </w:p>
    <w:p w14:paraId="6D574F32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36" w:name="_Toc30542"/>
      <w:r>
        <w:rPr>
          <w:rFonts w:hint="default"/>
          <w:lang w:val="en-US" w:eastAsia="zh-CN"/>
        </w:rPr>
        <w:t>配置管理计划</w:t>
      </w:r>
      <w:bookmarkEnd w:id="36"/>
    </w:p>
    <w:p w14:paraId="01B736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以季度为考核周期，核心指标为配置准确率，目标值为≥99%。由运维部负责配置项维护，建立配置变更自动同步机制，每月开展配置审计，质量部负责配置审计，评估结果作为配置管理流程优化的重要依据。</w:t>
      </w:r>
    </w:p>
    <w:p w14:paraId="632379A2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37" w:name="_Toc24450"/>
      <w:r>
        <w:rPr>
          <w:rFonts w:hint="default"/>
          <w:lang w:val="en-US" w:eastAsia="zh-CN"/>
        </w:rPr>
        <w:t>服务可用性和连续性管理计划</w:t>
      </w:r>
      <w:bookmarkEnd w:id="37"/>
    </w:p>
    <w:p w14:paraId="44DAE9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与连续性管理以月度为核心考核周期，核心指标包括关键服务可用率（≥99%）和服务中断事件次数（≤1次）。由运维部负责服务可用性监控与连续性保障，质量部按月统计分析指标数据，评估结果作为服务连续性改进和风险评估的重要依据。</w:t>
      </w:r>
    </w:p>
    <w:p w14:paraId="0316B192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38" w:name="_Toc25198"/>
      <w:r>
        <w:rPr>
          <w:rFonts w:hint="default"/>
          <w:lang w:val="en-US" w:eastAsia="zh-CN"/>
        </w:rPr>
        <w:t>容量管理计划</w:t>
      </w:r>
      <w:bookmarkEnd w:id="38"/>
    </w:p>
    <w:p w14:paraId="48473C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容量管理以季度为考核周期，核心指标为容量事件次数，目标值为季度不超过1次。由运维部负责容量规划与监控，质量部负责跟踪容量事件，评估结果作为容量规划优化的重要依据。</w:t>
      </w:r>
    </w:p>
    <w:p w14:paraId="6951B129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39" w:name="_Toc2175"/>
      <w:r>
        <w:rPr>
          <w:rFonts w:hint="default"/>
          <w:lang w:val="en-US" w:eastAsia="zh-CN"/>
        </w:rPr>
        <w:t>信息安全管理计划</w:t>
      </w:r>
      <w:bookmarkEnd w:id="39"/>
    </w:p>
    <w:p w14:paraId="363A0A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信息安全管理以年度为考核周期，核心指标为客户信息泄露事件次数，目标值为年度不超过2次。由运维部负责信息安全防护，质量部负责安全审计，评估结果作为信息安全管理体系改进的重要依据。</w:t>
      </w:r>
    </w:p>
    <w:p w14:paraId="280BB2AB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40" w:name="_Toc9602"/>
      <w:r>
        <w:rPr>
          <w:rFonts w:hint="default"/>
          <w:lang w:val="en-US" w:eastAsia="zh-CN"/>
        </w:rPr>
        <w:t>交付管理计划</w:t>
      </w:r>
      <w:bookmarkEnd w:id="40"/>
    </w:p>
    <w:p w14:paraId="39866C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依据GB/T 28827.2-2012《信息技术服务运行维护第2部分：交付规范》执行《交付管理制度》，明确交付内容与交付考核指标要求。</w:t>
      </w:r>
    </w:p>
    <w:p w14:paraId="387C3D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核心指标为交付及时率，目标值为≥95%。由运维部负责服务交付执行，质量部按季度统计指标达成情况，评估结果作为交付流程优化和服务质量改进的重要依据。</w:t>
      </w:r>
    </w:p>
    <w:p w14:paraId="05890293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41" w:name="_Toc3524"/>
      <w:r>
        <w:rPr>
          <w:rFonts w:hint="default"/>
          <w:lang w:val="en-US" w:eastAsia="zh-CN"/>
        </w:rPr>
        <w:t>应急管理计划</w:t>
      </w:r>
      <w:bookmarkEnd w:id="41"/>
    </w:p>
    <w:p w14:paraId="4178B8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依据GB/T 28827.3-2012《信息技术服务运行维护第3部分：应急响应规范》执行《应急管理制度》。</w:t>
      </w:r>
    </w:p>
    <w:p w14:paraId="74EBF03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以年度为考核周期，核心指标为应急演练次数，目标值为年度完成不少于1次综合应急演练并输出完整的演练报告。由运维部负责应急演练的组织实施，质量部负责评估演练效果，评估结果作为应急预案优化和应急能力提升的重要依据。2026年重点完善应急通讯录，增加24小时值班人员联系方式。</w:t>
      </w:r>
    </w:p>
    <w:p w14:paraId="56725A45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42" w:name="_Toc4168"/>
      <w:r>
        <w:rPr>
          <w:rFonts w:hint="default"/>
          <w:lang w:val="en-US" w:eastAsia="zh-CN"/>
        </w:rPr>
        <w:t>质量管理计划</w:t>
      </w:r>
      <w:bookmarkEnd w:id="42"/>
    </w:p>
    <w:p w14:paraId="00462AB5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43" w:name="_Toc11086"/>
      <w:r>
        <w:rPr>
          <w:rFonts w:hint="default"/>
          <w:lang w:val="en-US" w:eastAsia="zh-CN"/>
        </w:rPr>
        <w:t>内审</w:t>
      </w:r>
      <w:bookmarkEnd w:id="43"/>
    </w:p>
    <w:p w14:paraId="3BFD85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审核运维服务活动及其结果是否符合策划的安排，确保ITSS运维服务能力管理体系的有效性。</w:t>
      </w:r>
    </w:p>
    <w:p w14:paraId="17E3D2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运维服务能力内审由质量部负责组织实施，每年最少进行一次，重点审核2025年存在问题的改进落实情况。</w:t>
      </w:r>
    </w:p>
    <w:p w14:paraId="63DBD7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同时要审核2026年的相关记录报告进行审核。</w:t>
      </w:r>
    </w:p>
    <w:p w14:paraId="1113DA7D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44" w:name="_Toc13626"/>
      <w:r>
        <w:rPr>
          <w:rFonts w:hint="default"/>
          <w:lang w:val="en-US" w:eastAsia="zh-CN"/>
        </w:rPr>
        <w:t>管评</w:t>
      </w:r>
      <w:bookmarkEnd w:id="44"/>
    </w:p>
    <w:p w14:paraId="27AD3A7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管理评审目的是对公司ITSS运维服务能力管理体系进行系统评审，识别并确定各种改进的机会和需要，确保ITSS运维服务能力管理体系持续的适宜性、充分性和有效性。</w:t>
      </w:r>
    </w:p>
    <w:p w14:paraId="4F360A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运维服务能力管理评审由总经理组织实施，每年至少进行一次</w:t>
      </w:r>
      <w:r>
        <w:rPr>
          <w:rFonts w:hint="eastAsia"/>
          <w:lang w:val="en-US" w:eastAsia="zh-CN"/>
        </w:rPr>
        <w:t>。</w:t>
      </w:r>
    </w:p>
    <w:p w14:paraId="1978249C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45" w:name="_Toc32366"/>
      <w:r>
        <w:rPr>
          <w:rFonts w:hint="default"/>
          <w:lang w:val="en-US" w:eastAsia="zh-CN"/>
        </w:rPr>
        <w:t>客户满意度</w:t>
      </w:r>
      <w:bookmarkEnd w:id="45"/>
    </w:p>
    <w:p w14:paraId="2DDED3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客户满意度是衡量服务质量的核心指标，直接反映服务价值与客户期望的匹配程度。本项管理以季度为考核周期，核心指标为总体满意度，目标值为≥9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%。由质量部负责满意度调研的实施与数据分析，评估结果将作为服务改进、流程优化及资源配置的核心依据，推动服务能力持续提升。</w:t>
      </w:r>
    </w:p>
    <w:p w14:paraId="29297D71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46" w:name="_Toc17944"/>
      <w:r>
        <w:rPr>
          <w:rFonts w:hint="default"/>
          <w:lang w:val="en-US" w:eastAsia="zh-CN"/>
        </w:rPr>
        <w:t>资源保障</w:t>
      </w:r>
      <w:bookmarkEnd w:id="46"/>
    </w:p>
    <w:p w14:paraId="791BC659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47" w:name="_Toc15542"/>
      <w:r>
        <w:rPr>
          <w:rFonts w:hint="default"/>
          <w:lang w:val="en-US" w:eastAsia="zh-CN"/>
        </w:rPr>
        <w:t>人员保障</w:t>
      </w:r>
      <w:bookmarkEnd w:id="47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3391"/>
        <w:gridCol w:w="3766"/>
      </w:tblGrid>
      <w:tr w14:paraId="6ADCF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1BE867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F676A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人员配置</w:t>
            </w:r>
          </w:p>
        </w:tc>
        <w:tc>
          <w:tcPr>
            <w:tcW w:w="376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E680D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</w:t>
            </w:r>
          </w:p>
        </w:tc>
      </w:tr>
      <w:tr w14:paraId="0D28B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5A532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340E0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现有人员</w:t>
            </w:r>
          </w:p>
        </w:tc>
        <w:tc>
          <w:tcPr>
            <w:tcW w:w="37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2397EC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能力管理统筹、指标监控、改进跟踪</w:t>
            </w:r>
          </w:p>
        </w:tc>
      </w:tr>
      <w:tr w14:paraId="38309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F03E4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27CB2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现有人员+新增2名运维工程师</w:t>
            </w:r>
          </w:p>
        </w:tc>
        <w:tc>
          <w:tcPr>
            <w:tcW w:w="37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9B9BB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过程能力执行、数据采集、工具应用</w:t>
            </w:r>
          </w:p>
        </w:tc>
      </w:tr>
      <w:tr w14:paraId="113E1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8DD558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D7728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现有人员+新增1名开发工程师</w:t>
            </w:r>
          </w:p>
        </w:tc>
        <w:tc>
          <w:tcPr>
            <w:tcW w:w="37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D7F0A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技术能力建设、自动化开发</w:t>
            </w:r>
          </w:p>
        </w:tc>
      </w:tr>
      <w:tr w14:paraId="1F6FE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13DF6A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33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AA137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现有人员</w:t>
            </w:r>
          </w:p>
        </w:tc>
        <w:tc>
          <w:tcPr>
            <w:tcW w:w="37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2BFBCA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人员能力保障、培训组织</w:t>
            </w:r>
          </w:p>
        </w:tc>
      </w:tr>
    </w:tbl>
    <w:p w14:paraId="5CC289AF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48" w:name="_Toc2491"/>
      <w:r>
        <w:rPr>
          <w:rFonts w:hint="default"/>
          <w:lang w:val="en-US" w:eastAsia="zh-CN"/>
        </w:rPr>
        <w:t>经费保障</w:t>
      </w:r>
      <w:bookmarkEnd w:id="48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1"/>
        <w:gridCol w:w="2141"/>
        <w:gridCol w:w="4493"/>
      </w:tblGrid>
      <w:tr w14:paraId="574D9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6664C3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8791D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预算（万元）</w:t>
            </w:r>
          </w:p>
        </w:tc>
        <w:tc>
          <w:tcPr>
            <w:tcW w:w="44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77BC5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433D3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957F25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人员培训费用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E9D5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8.0</w:t>
            </w:r>
          </w:p>
        </w:tc>
        <w:tc>
          <w:tcPr>
            <w:tcW w:w="44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361D6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外部培训、认证考试、内部讲师课酬</w:t>
            </w:r>
          </w:p>
        </w:tc>
      </w:tr>
      <w:tr w14:paraId="7AE5C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773D1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B4F75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35.0</w:t>
            </w:r>
          </w:p>
        </w:tc>
        <w:tc>
          <w:tcPr>
            <w:tcW w:w="44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8CE10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详见技术研发规划</w:t>
            </w:r>
          </w:p>
        </w:tc>
      </w:tr>
      <w:tr w14:paraId="33FEC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65470E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质量工具优化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C09E6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1.5</w:t>
            </w:r>
          </w:p>
        </w:tc>
        <w:tc>
          <w:tcPr>
            <w:tcW w:w="44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1CB725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禅道报表功能开发</w:t>
            </w:r>
          </w:p>
        </w:tc>
      </w:tr>
      <w:tr w14:paraId="6DEE4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7EC44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bookmarkStart w:id="50" w:name="_GoBack" w:colFirst="2" w:colLast="2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安全工具引入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8D0FE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5.0</w:t>
            </w:r>
          </w:p>
        </w:tc>
        <w:tc>
          <w:tcPr>
            <w:tcW w:w="44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951ED5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日志智能分析（UEBA）模块</w:t>
            </w:r>
          </w:p>
        </w:tc>
      </w:tr>
      <w:tr w14:paraId="1AD6E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E5C412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7A628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1.0</w:t>
            </w:r>
          </w:p>
        </w:tc>
        <w:tc>
          <w:tcPr>
            <w:tcW w:w="44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DE1308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演练物资、场地</w:t>
            </w:r>
          </w:p>
        </w:tc>
      </w:tr>
      <w:bookmarkEnd w:id="50"/>
      <w:tr w14:paraId="3D62B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9CB649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9B28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50.5</w:t>
            </w:r>
          </w:p>
        </w:tc>
        <w:tc>
          <w:tcPr>
            <w:tcW w:w="44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7589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 w14:paraId="13B377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33E07DFA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49" w:name="_Toc765"/>
      <w:r>
        <w:rPr>
          <w:rFonts w:hint="default"/>
          <w:lang w:val="en-US" w:eastAsia="zh-CN"/>
        </w:rPr>
        <w:t>附件</w:t>
      </w:r>
      <w:bookmarkEnd w:id="49"/>
    </w:p>
    <w:p w14:paraId="7D16E2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《2026年能力建设活动时间表》</w:t>
      </w:r>
    </w:p>
    <w:p w14:paraId="3332D2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《2026年能力管理改进计划跟踪表》</w:t>
      </w:r>
    </w:p>
    <w:p w14:paraId="3EF778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《2026年能力指标体系》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7ECBD6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54D03C5"/>
    <w:multiLevelType w:val="singleLevel"/>
    <w:tmpl w:val="254D03C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90210EA"/>
    <w:rsid w:val="45F54933"/>
    <w:rsid w:val="4AD2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5958</Words>
  <Characters>6685</Characters>
  <Lines>0</Lines>
  <Paragraphs>0</Paragraphs>
  <TotalTime>9</TotalTime>
  <ScaleCrop>false</ScaleCrop>
  <LinksUpToDate>false</LinksUpToDate>
  <CharactersWithSpaces>7302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2026-03-23T02:07:00Z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