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557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42"/>
      <w:r>
        <w:rPr>
          <w:rFonts w:hint="eastAsia"/>
          <w:lang w:val="en-US" w:eastAsia="zh-CN"/>
        </w:rPr>
        <w:t>运维服务管评管理制度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_Toc30557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_Toc30557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_Toc2842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运维服务管评管理制度</w:t>
          </w:r>
          <w:r>
            <w:tab/>
          </w:r>
          <w:r>
            <w:fldChar w:fldCharType="begin"/>
          </w:r>
          <w:r>
            <w:instrText xml:space="preserve"> PAGEREF _Toc2842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_Toc22408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_Toc22408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_Toc4092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_Toc4092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_Toc12113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_Toc12113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_Toc20848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_Toc20848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_Toc7210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_Toc7210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_Toc21607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1.4.1. 管理者代表</w:t>
          </w:r>
          <w:r>
            <w:tab/>
          </w:r>
          <w:r>
            <w:fldChar w:fldCharType="begin"/>
          </w:r>
          <w:r>
            <w:instrText xml:space="preserve"> PAGEREF _Toc21607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_Toc8032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1.4.2. 质量部</w:t>
          </w:r>
          <w:r>
            <w:tab/>
          </w:r>
          <w:r>
            <w:fldChar w:fldCharType="begin"/>
          </w:r>
          <w:r>
            <w:instrText xml:space="preserve"> PAGEREF _Toc8032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_Toc27796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1.4.3. 各相关部门</w:t>
          </w:r>
          <w:r>
            <w:tab/>
          </w:r>
          <w:r>
            <w:fldChar w:fldCharType="begin"/>
          </w:r>
          <w:r>
            <w:instrText xml:space="preserve"> PAGEREF _Toc27796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_Toc7950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_Toc7950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_Toc3090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_Toc32673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管理评审</w:t>
          </w:r>
          <w:r>
            <w:tab/>
          </w:r>
          <w:r>
            <w:fldChar w:fldCharType="begin"/>
          </w:r>
          <w:r>
            <w:instrText xml:space="preserve"> PAGEREF _Toc32673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_Toc23888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适宜性</w:t>
          </w:r>
          <w:r>
            <w:tab/>
          </w:r>
          <w:r>
            <w:fldChar w:fldCharType="begin"/>
          </w:r>
          <w:r>
            <w:instrText xml:space="preserve"> PAGEREF _Toc23888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_Toc8866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充分性</w:t>
          </w:r>
          <w:r>
            <w:tab/>
          </w:r>
          <w:r>
            <w:fldChar w:fldCharType="begin"/>
          </w:r>
          <w:r>
            <w:instrText xml:space="preserve"> PAGEREF _Toc8866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_Toc24895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有效性</w:t>
          </w:r>
          <w:r>
            <w:tab/>
          </w:r>
          <w:r>
            <w:fldChar w:fldCharType="begin"/>
          </w:r>
          <w:r>
            <w:instrText xml:space="preserve"> PAGEREF _Toc24895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_Toc15515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_Toc15515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_Toc23579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 评审频次与时机</w:t>
          </w:r>
          <w:r>
            <w:tab/>
          </w:r>
          <w:r>
            <w:fldChar w:fldCharType="begin"/>
          </w:r>
          <w:r>
            <w:instrText xml:space="preserve"> PAGEREF _Toc23579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_Toc17233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 评审策划</w:t>
          </w:r>
          <w:r>
            <w:tab/>
          </w:r>
          <w:r>
            <w:fldChar w:fldCharType="begin"/>
          </w:r>
          <w:r>
            <w:instrText xml:space="preserve"> PAGEREF _Toc17233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_Toc27967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4.2.1. 评审计划制定</w:t>
          </w:r>
          <w:r>
            <w:tab/>
          </w:r>
          <w:r>
            <w:fldChar w:fldCharType="begin"/>
          </w:r>
          <w:r>
            <w:instrText xml:space="preserve"> PAGEREF _Toc27967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_Toc32429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4.2.2. 评审准备</w:t>
          </w:r>
          <w:r>
            <w:tab/>
          </w:r>
          <w:r>
            <w:fldChar w:fldCharType="begin"/>
          </w:r>
          <w:r>
            <w:instrText xml:space="preserve"> PAGEREF _Toc32429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_Toc21228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 评审实施</w:t>
          </w:r>
          <w:r>
            <w:tab/>
          </w:r>
          <w:r>
            <w:fldChar w:fldCharType="begin"/>
          </w:r>
          <w:r>
            <w:instrText xml:space="preserve"> PAGEREF _Toc21228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_Toc23046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4.3.1. 评审输入</w:t>
          </w:r>
          <w:r>
            <w:tab/>
          </w:r>
          <w:r>
            <w:fldChar w:fldCharType="begin"/>
          </w:r>
          <w:r>
            <w:instrText xml:space="preserve"> PAGEREF _Toc23046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_Toc8422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4.3.2. 评审会议</w:t>
          </w:r>
          <w:r>
            <w:tab/>
          </w:r>
          <w:r>
            <w:fldChar w:fldCharType="begin"/>
          </w:r>
          <w:r>
            <w:instrText xml:space="preserve"> PAGEREF _Toc8422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_Toc16558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 评审输出</w:t>
          </w:r>
          <w:r>
            <w:tab/>
          </w:r>
          <w:r>
            <w:fldChar w:fldCharType="begin"/>
          </w:r>
          <w:r>
            <w:instrText xml:space="preserve"> PAGEREF _Toc16558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_Toc10576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4.4.1. 评审结论</w:t>
          </w:r>
          <w:r>
            <w:tab/>
          </w:r>
          <w:r>
            <w:fldChar w:fldCharType="begin"/>
          </w:r>
          <w:r>
            <w:instrText xml:space="preserve"> PAGEREF _Toc10576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_Toc26604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4.4.2. 评审报告</w:t>
          </w:r>
          <w:r>
            <w:tab/>
          </w:r>
          <w:r>
            <w:fldChar w:fldCharType="begin"/>
          </w:r>
          <w:r>
            <w:instrText xml:space="preserve"> PAGEREF _Toc26604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_Toc4412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 改进措施跟踪</w:t>
          </w:r>
          <w:r>
            <w:tab/>
          </w:r>
          <w:r>
            <w:fldChar w:fldCharType="begin"/>
          </w:r>
          <w:r>
            <w:instrText xml:space="preserve"> PAGEREF _Toc4412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_Toc14800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4.5.1. 措施实施</w:t>
          </w:r>
          <w:r>
            <w:tab/>
          </w:r>
          <w:r>
            <w:fldChar w:fldCharType="begin"/>
          </w:r>
          <w:r>
            <w:instrText xml:space="preserve"> PAGEREF _Toc14800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_Toc5819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4.5.2. 效果验证</w:t>
          </w:r>
          <w:r>
            <w:tab/>
          </w:r>
          <w:r>
            <w:fldChar w:fldCharType="begin"/>
          </w:r>
          <w:r>
            <w:instrText xml:space="preserve"> PAGEREF _Toc5819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_Toc28537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_Toc28537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_Toc31861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_Toc31861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_Toc7882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_Toc7882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_Toc28443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_Toc28443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</w:sdtContent>
    </w:sdt>
    <w:p>
      <w:r>
        <w:rPr>
          <w:rFonts w:hint="eastAsia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22408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4092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为建立系统化的管理评审机制，定期评价公司运维服务管理体系的适宜性、充分性和有效性，识别体系改进机会，确保服务方针和服务目标的实现，推动管理体系持续改进，特制定本制度。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2113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本制度适用于公司管理层对运维服务管理体系的评审活动，包括质量方针、质量目标及体系运行效果的评审。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0848"/>
      <w:r>
        <w:rPr>
          <w:rFonts w:hint="eastAsia"/>
          <w:lang w:val="en-US" w:eastAsia="zh-CN"/>
        </w:rPr>
        <w:t>原则</w:t>
      </w:r>
      <w:bookmarkEnd w:id="5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战略导向：确保管理体系与公司战略目标保持一致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数据驱动：基于客观证据和数据分析进行决策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持续改进：注重识别改进机会，推动体系不断完善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全员参与：各相关部门共同参与评审过程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7210"/>
      <w:r>
        <w:rPr>
          <w:rFonts w:hint="eastAsia"/>
          <w:lang w:val="en-US" w:eastAsia="zh-CN"/>
        </w:rPr>
        <w:t>岗位职责</w:t>
      </w:r>
      <w:bookmarkEnd w:id="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1607"/>
      <w:r>
        <w:rPr>
          <w:rFonts w:hint="default"/>
          <w:lang w:val="en-US" w:eastAsia="zh-CN"/>
        </w:rPr>
        <w:t>管理者代表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负责审批管理评审计划，主持评审会议，批准管理评审报告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8032"/>
      <w:r>
        <w:rPr>
          <w:rFonts w:hint="default"/>
          <w:lang w:val="en-US" w:eastAsia="zh-CN"/>
        </w:rPr>
        <w:t>质量部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作为管理评审归口部门，负责组织评审活动，准备评审资料，编制评审报告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7796"/>
      <w:r>
        <w:rPr>
          <w:rFonts w:hint="default"/>
          <w:lang w:val="en-US" w:eastAsia="zh-CN"/>
        </w:rPr>
        <w:t>各相关部门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负责准备本部门体系运行情况报告，参与评审会议，落实改进措施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7950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3090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32673"/>
      <w:r>
        <w:rPr>
          <w:rFonts w:hint="eastAsia"/>
        </w:rPr>
        <w:t>管理评审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由最高管理者就质量方针和目标，对体系的适宜性、充分性和有效性进行的正式评价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23888"/>
      <w:r>
        <w:rPr>
          <w:rFonts w:hint="eastAsia"/>
        </w:rPr>
        <w:t>适宜性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管理体系与组织环境、战略方向的匹配程度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8866"/>
      <w:r>
        <w:rPr>
          <w:rFonts w:hint="eastAsia"/>
        </w:rPr>
        <w:t>充分性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管理体系覆盖所有要求并有效实施的程度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24895"/>
      <w:r>
        <w:rPr>
          <w:rFonts w:hint="eastAsia"/>
        </w:rPr>
        <w:t>有效性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完成策划活动和达到策划结果的程度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5515"/>
      <w:r>
        <w:rPr>
          <w:rFonts w:hint="eastAsia"/>
          <w:lang w:val="en-US" w:eastAsia="zh-CN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3579"/>
      <w:r>
        <w:rPr>
          <w:rFonts w:hint="default"/>
          <w:lang w:val="en-US" w:eastAsia="zh-CN"/>
        </w:rPr>
        <w:t>评审频次与时机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常规管理评审每年至少进行一次，间隔不超过12个月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在下列情况下应增加临时管理评审：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组织机构发生重大调整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管理体系发生重大变化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发生重大质量事故或客户重大投诉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外部环境发生重大变化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认证审核前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7233"/>
      <w:r>
        <w:rPr>
          <w:rFonts w:hint="default"/>
          <w:lang w:val="en-US" w:eastAsia="zh-CN"/>
        </w:rPr>
        <w:t>评审策划</w:t>
      </w:r>
      <w:bookmarkEnd w:id="18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7967"/>
      <w:r>
        <w:rPr>
          <w:rFonts w:hint="default"/>
          <w:lang w:val="en-US" w:eastAsia="zh-CN"/>
        </w:rPr>
        <w:t>评审计划制定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质量部应于评审前</w:t>
      </w:r>
      <w:r>
        <w:rPr>
          <w:rFonts w:hint="eastAsia"/>
          <w:lang w:val="en-US" w:eastAsia="zh-CN"/>
        </w:rPr>
        <w:t>一周左右</w:t>
      </w:r>
      <w:r>
        <w:rPr>
          <w:rFonts w:hint="default"/>
          <w:lang w:val="en-US" w:eastAsia="zh-CN"/>
        </w:rPr>
        <w:t>编制《管理评审计划》，内容包括：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评审目的、范围和时间安排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评审依据和评审重点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参加评审的部门和人员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评审议程和输入资料要求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32429"/>
      <w:r>
        <w:rPr>
          <w:rFonts w:hint="default"/>
          <w:lang w:val="en-US" w:eastAsia="zh-CN"/>
        </w:rPr>
        <w:t>评审准备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各相关部门根据评审计划准备相应输入资料：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运维部：服务交付情况、KPI达成情况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：客户满意度分析、客户投诉处理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质量部：内审结果、纠正预防措施实施情况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综合管理部：人员能力评估、培训效果分析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1228"/>
      <w:r>
        <w:rPr>
          <w:rFonts w:hint="default"/>
          <w:lang w:val="en-US" w:eastAsia="zh-CN"/>
        </w:rPr>
        <w:t>评审实施</w:t>
      </w:r>
      <w:bookmarkEnd w:id="21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3046"/>
      <w:r>
        <w:rPr>
          <w:rFonts w:hint="default"/>
          <w:lang w:val="en-US" w:eastAsia="zh-CN"/>
        </w:rPr>
        <w:t>评审输入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管理评审输入应包括以下内容：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以往管理评审跟踪措施的实施情况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内外部审核结果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客户反馈分析（满意度、投诉、建议）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服务过程绩效和KPI达成情况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纠正和预防措施状况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可能影响管理体系的各种变更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改进建议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8422"/>
      <w:r>
        <w:rPr>
          <w:rFonts w:hint="default"/>
          <w:lang w:val="en-US" w:eastAsia="zh-CN"/>
        </w:rPr>
        <w:t>评审会议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会议由管理者代表主持，议程包括：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汇报体系运行总体情况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各部门报告分管领域运行状况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讨论体系适宜性、充分性和有效性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评价改进机会和变更需求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形成评审结论和改进决定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16558"/>
      <w:r>
        <w:rPr>
          <w:rFonts w:hint="default"/>
          <w:lang w:val="en-US" w:eastAsia="zh-CN"/>
        </w:rPr>
        <w:t>评审输出</w:t>
      </w:r>
      <w:bookmarkEnd w:id="24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10576"/>
      <w:r>
        <w:rPr>
          <w:rFonts w:hint="default"/>
          <w:lang w:val="en-US" w:eastAsia="zh-CN"/>
        </w:rPr>
        <w:t>评审结论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管理评审输出应包括：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体系适宜性、充分性和有效性的总体评价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服务方针和目标变更决定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体系文件修改需求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资源调配决定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改进项目和措施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26604"/>
      <w:r>
        <w:rPr>
          <w:rFonts w:hint="default"/>
          <w:lang w:val="en-US" w:eastAsia="zh-CN"/>
        </w:rPr>
        <w:t>评审报告</w:t>
      </w:r>
      <w:bookmarkEnd w:id="2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质量部在评审后5个工作日内编制《管理评审报告》，内容包括：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评审概况和参会人员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评审输入内容摘要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评审讨论和结论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改进决定和措施要求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资源需求和建议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4412"/>
      <w:r>
        <w:rPr>
          <w:rFonts w:hint="default"/>
          <w:lang w:val="en-US" w:eastAsia="zh-CN"/>
        </w:rPr>
        <w:t>改进措施跟踪</w:t>
      </w:r>
      <w:bookmarkEnd w:id="2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14800"/>
      <w:r>
        <w:rPr>
          <w:rFonts w:hint="default"/>
          <w:lang w:val="en-US" w:eastAsia="zh-CN"/>
        </w:rPr>
        <w:t>措施实施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各相关部门根据评审决定：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制定具体的改进措施计划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明确责任人和完成时限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配置必要资源确保实施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5819"/>
      <w:r>
        <w:rPr>
          <w:rFonts w:hint="default"/>
          <w:lang w:val="en-US" w:eastAsia="zh-CN"/>
        </w:rPr>
        <w:t>效果验证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跟踪改进措施实施进度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验证措施实施效果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将验证结果纳入下次管理评审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28537"/>
      <w:r>
        <w:rPr>
          <w:rFonts w:hint="eastAsia"/>
          <w:lang w:val="en-US" w:eastAsia="zh-CN"/>
        </w:rPr>
        <w:t>考核指标</w:t>
      </w:r>
      <w:bookmarkEnd w:id="30"/>
    </w:p>
    <w:tbl>
      <w:tblPr>
        <w:tblStyle w:val="TableGrid"/>
        <w:tblW w:w="852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3265"/>
        <w:gridCol w:w="996"/>
        <w:gridCol w:w="2131"/>
      </w:tblGrid>
      <w:tr>
        <w:tblPrEx>
          <w:tblW w:w="8522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265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99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频次</w:t>
            </w:r>
          </w:p>
        </w:tc>
        <w:tc>
          <w:tcPr>
            <w:tcW w:w="213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目标值</w:t>
            </w:r>
          </w:p>
        </w:tc>
      </w:tr>
      <w:tr>
        <w:tblPrEx>
          <w:tblW w:w="8522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管评次数</w:t>
            </w:r>
          </w:p>
        </w:tc>
        <w:tc>
          <w:tcPr>
            <w:tcW w:w="3265" w:type="dxa"/>
            <w:shd w:val="clear" w:color="auto" w:fill="auto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数量，管评报告数量</w:t>
            </w:r>
          </w:p>
        </w:tc>
        <w:tc>
          <w:tcPr>
            <w:tcW w:w="996" w:type="dxa"/>
            <w:shd w:val="clear" w:color="auto" w:fill="auto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年度</w:t>
            </w:r>
          </w:p>
        </w:tc>
        <w:tc>
          <w:tcPr>
            <w:tcW w:w="2131" w:type="dxa"/>
            <w:shd w:val="clear" w:color="auto" w:fill="auto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≥1次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1" w:name="bookmark3"/>
      <w:bookmarkEnd w:id="31"/>
      <w:bookmarkStart w:id="32" w:name="_Toc17424"/>
      <w:bookmarkStart w:id="33" w:name="_Toc31861"/>
      <w:r>
        <w:rPr>
          <w:rStyle w:val="1Char"/>
          <w:rFonts w:eastAsia="宋体" w:hint="eastAsia"/>
          <w:lang w:val="en-US" w:eastAsia="zh-CN"/>
        </w:rPr>
        <w:t>附则</w:t>
      </w:r>
      <w:bookmarkEnd w:id="32"/>
      <w:bookmarkEnd w:id="33"/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质量</w:t>
      </w:r>
      <w:bookmarkStart w:id="34" w:name="_GoBack"/>
      <w:bookmarkEnd w:id="34"/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5" w:name="bookmark14"/>
      <w:bookmarkEnd w:id="35"/>
      <w:bookmarkStart w:id="36" w:name="_Toc7882"/>
      <w:r>
        <w:rPr>
          <w:rFonts w:hint="eastAsia"/>
          <w:lang w:val="en-US" w:eastAsia="zh-CN"/>
        </w:rPr>
        <w:t>附件</w:t>
      </w:r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7" w:name="_Toc28443"/>
      <w:r>
        <w:rPr>
          <w:rFonts w:hint="eastAsia"/>
          <w:lang w:val="en-US" w:eastAsia="zh-CN"/>
        </w:rPr>
        <w:t>记录</w:t>
      </w:r>
      <w:bookmarkEnd w:id="3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7420DC9"/>
    <w:multiLevelType w:val="singleLevel"/>
    <w:tmpl w:val="A7420DC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0E542CB"/>
    <w:multiLevelType w:val="singleLevel"/>
    <w:tmpl w:val="B0E542C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6E7A118"/>
    <w:multiLevelType w:val="singleLevel"/>
    <w:tmpl w:val="D6E7A11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BE06B1F"/>
    <w:multiLevelType w:val="singleLevel"/>
    <w:tmpl w:val="DBE06B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E779186"/>
    <w:multiLevelType w:val="singleLevel"/>
    <w:tmpl w:val="DE77918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3877C3D"/>
    <w:multiLevelType w:val="singleLevel"/>
    <w:tmpl w:val="E3877C3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402564E"/>
    <w:multiLevelType w:val="singleLevel"/>
    <w:tmpl w:val="E402564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EB858D5"/>
    <w:multiLevelType w:val="singleLevel"/>
    <w:tmpl w:val="EEB858D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F540AA58"/>
    <w:multiLevelType w:val="singleLevel"/>
    <w:tmpl w:val="F540AA5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0F7A6E78"/>
    <w:multiLevelType w:val="singleLevel"/>
    <w:tmpl w:val="0F7A6E7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2C3C5CA8"/>
    <w:multiLevelType w:val="singleLevel"/>
    <w:tmpl w:val="2C3C5CA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2"/>
  </w:num>
  <w:num w:numId="3">
    <w:abstractNumId w:val="9"/>
  </w:num>
  <w:num w:numId="4">
    <w:abstractNumId w:val="7"/>
  </w:num>
  <w:num w:numId="5">
    <w:abstractNumId w:val="11"/>
  </w:num>
  <w:num w:numId="6">
    <w:abstractNumId w:val="5"/>
  </w:num>
  <w:num w:numId="7">
    <w:abstractNumId w:val="8"/>
  </w:num>
  <w:num w:numId="8">
    <w:abstractNumId w:val="1"/>
  </w:num>
  <w:num w:numId="9">
    <w:abstractNumId w:val="3"/>
  </w:num>
  <w:num w:numId="10">
    <w:abstractNumId w:val="2"/>
  </w:num>
  <w:num w:numId="11">
    <w:abstractNumId w:val="6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1605</Words>
  <Characters>1822</Characters>
  <Application>Microsoft Office Word</Application>
  <DocSecurity>0</DocSecurity>
  <Lines>0</Lines>
  <Paragraphs>0</Paragraphs>
  <ScaleCrop>false</ScaleCrop>
  <Company/>
  <LinksUpToDate>false</LinksUpToDate>
  <CharactersWithSpaces>1971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2026-03-21T01:08:26Z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