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0230"/>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8656"/>
      <w:r>
        <w:rPr>
          <w:rFonts w:hint="eastAsia"/>
          <w:lang w:val="en-US" w:eastAsia="zh-CN"/>
        </w:rPr>
        <w:t>运维服务验收管理制度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TYSW</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8</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lang w:val="en-US" w:eastAsia="zh-CN"/>
              </w:rPr>
              <w:t>质量部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吴智锋</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吴智锋</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_Toc30230 </w:instrText>
          </w:r>
          <w:r>
            <w:rPr>
              <w:rFonts w:ascii="宋体" w:eastAsia="宋体" w:hAnsi="宋体" w:cs="宋体" w:hint="eastAsia"/>
              <w:szCs w:val="24"/>
            </w:rPr>
            <w:fldChar w:fldCharType="separate"/>
          </w:r>
          <w:r>
            <w:rPr>
              <w:rFonts w:hint="eastAsia"/>
              <w:lang w:val="en-US" w:eastAsia="zh-CN"/>
            </w:rPr>
            <w:t>肇庆市天鹰生物科技有限公司</w:t>
          </w:r>
          <w:r>
            <w:tab/>
          </w:r>
          <w:r>
            <w:fldChar w:fldCharType="begin"/>
          </w:r>
          <w:r>
            <w:instrText xml:space="preserve"> PAGEREF _Toc30230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_Toc8656 </w:instrText>
          </w:r>
          <w:r>
            <w:rPr>
              <w:rFonts w:ascii="宋体" w:eastAsia="宋体" w:hAnsi="宋体" w:cs="宋体" w:hint="eastAsia"/>
              <w:szCs w:val="24"/>
            </w:rPr>
            <w:fldChar w:fldCharType="separate"/>
          </w:r>
          <w:r>
            <w:rPr>
              <w:rFonts w:hint="eastAsia"/>
              <w:lang w:val="en-US" w:eastAsia="zh-CN"/>
            </w:rPr>
            <w:t>运维服务验收管理制度</w:t>
          </w:r>
          <w:r>
            <w:tab/>
          </w:r>
          <w:r>
            <w:fldChar w:fldCharType="begin"/>
          </w:r>
          <w:r>
            <w:instrText xml:space="preserve"> PAGEREF _Toc8656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_Toc25240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_Toc25240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_Toc10698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_Toc10698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_Toc30528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_Toc30528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_Toc9901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_Toc9901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_Toc3630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_Toc3630 \h </w:instrText>
          </w:r>
          <w:r>
            <w:fldChar w:fldCharType="separate"/>
          </w:r>
          <w:r>
            <w:t>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_Toc32452 </w:instrText>
          </w:r>
          <w:r>
            <w:rPr>
              <w:rFonts w:ascii="宋体" w:eastAsia="宋体" w:hAnsi="宋体" w:cs="宋体" w:hint="eastAsia"/>
              <w:szCs w:val="24"/>
            </w:rPr>
            <w:fldChar w:fldCharType="separate"/>
          </w:r>
          <w:r>
            <w:rPr>
              <w:rFonts w:hint="default"/>
              <w:lang w:val="en-US" w:eastAsia="zh-CN"/>
            </w:rPr>
            <w:t xml:space="preserve">1.4.1. </w:t>
          </w:r>
          <w:r>
            <w:rPr>
              <w:rFonts w:hint="eastAsia"/>
              <w:lang w:val="en-US" w:eastAsia="zh-CN"/>
            </w:rPr>
            <w:t>运维部经理</w:t>
          </w:r>
          <w:r>
            <w:tab/>
          </w:r>
          <w:r>
            <w:fldChar w:fldCharType="begin"/>
          </w:r>
          <w:r>
            <w:instrText xml:space="preserve"> PAGEREF _Toc32452 \h </w:instrText>
          </w:r>
          <w:r>
            <w:fldChar w:fldCharType="separate"/>
          </w:r>
          <w:r>
            <w:t>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_Toc24164 </w:instrText>
          </w:r>
          <w:r>
            <w:rPr>
              <w:rFonts w:ascii="宋体" w:eastAsia="宋体" w:hAnsi="宋体" w:cs="宋体" w:hint="eastAsia"/>
              <w:szCs w:val="24"/>
            </w:rPr>
            <w:fldChar w:fldCharType="separate"/>
          </w:r>
          <w:r>
            <w:rPr>
              <w:rFonts w:hint="default"/>
              <w:lang w:val="en-US" w:eastAsia="zh-CN"/>
            </w:rPr>
            <w:t>1.4.2. 运维项目经理</w:t>
          </w:r>
          <w:r>
            <w:tab/>
          </w:r>
          <w:r>
            <w:fldChar w:fldCharType="begin"/>
          </w:r>
          <w:r>
            <w:instrText xml:space="preserve"> PAGEREF _Toc24164 \h </w:instrText>
          </w:r>
          <w:r>
            <w:fldChar w:fldCharType="separate"/>
          </w:r>
          <w:r>
            <w:t>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_Toc30541 </w:instrText>
          </w:r>
          <w:r>
            <w:rPr>
              <w:rFonts w:ascii="宋体" w:eastAsia="宋体" w:hAnsi="宋体" w:cs="宋体" w:hint="eastAsia"/>
              <w:szCs w:val="24"/>
            </w:rPr>
            <w:fldChar w:fldCharType="separate"/>
          </w:r>
          <w:r>
            <w:rPr>
              <w:rFonts w:hint="default"/>
              <w:lang w:val="en-US" w:eastAsia="zh-CN"/>
            </w:rPr>
            <w:t>1.4.3. 质量部</w:t>
          </w:r>
          <w:r>
            <w:tab/>
          </w:r>
          <w:r>
            <w:fldChar w:fldCharType="begin"/>
          </w:r>
          <w:r>
            <w:instrText xml:space="preserve"> PAGEREF _Toc30541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_Toc24933 </w:instrText>
          </w:r>
          <w:r>
            <w:rPr>
              <w:rFonts w:ascii="宋体" w:eastAsia="宋体" w:hAnsi="宋体" w:cs="宋体" w:hint="eastAsia"/>
              <w:szCs w:val="24"/>
            </w:rPr>
            <w:fldChar w:fldCharType="separate"/>
          </w:r>
          <w:r>
            <w:rPr>
              <w:rFonts w:hint="default"/>
              <w:lang w:val="en-US" w:eastAsia="zh-CN"/>
            </w:rPr>
            <w:t xml:space="preserve">1.4.4. </w:t>
          </w:r>
          <w:r>
            <w:rPr>
              <w:rFonts w:hint="eastAsia"/>
              <w:lang w:val="en-US" w:eastAsia="zh-CN"/>
            </w:rPr>
            <w:t>服务台专员</w:t>
          </w:r>
          <w:r>
            <w:tab/>
          </w:r>
          <w:r>
            <w:fldChar w:fldCharType="begin"/>
          </w:r>
          <w:r>
            <w:instrText xml:space="preserve"> PAGEREF _Toc24933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_Toc12306 </w:instrText>
          </w:r>
          <w:r>
            <w:rPr>
              <w:rFonts w:ascii="宋体" w:eastAsia="宋体" w:hAnsi="宋体" w:cs="宋体" w:hint="eastAsia"/>
              <w:szCs w:val="24"/>
            </w:rPr>
            <w:fldChar w:fldCharType="separate"/>
          </w:r>
          <w:r>
            <w:rPr>
              <w:rFonts w:hint="default"/>
              <w:lang w:val="en-US" w:eastAsia="zh-CN"/>
            </w:rPr>
            <w:t>1.4.5. 运维工程师</w:t>
          </w:r>
          <w:r>
            <w:tab/>
          </w:r>
          <w:r>
            <w:fldChar w:fldCharType="begin"/>
          </w:r>
          <w:r>
            <w:instrText xml:space="preserve"> PAGEREF _Toc12306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_Toc23263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_Toc23263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_Toc7401 </w:instrText>
          </w:r>
          <w:r>
            <w:rPr>
              <w:rFonts w:ascii="宋体" w:eastAsia="宋体" w:hAnsi="宋体" w:cs="宋体" w:hint="eastAsia"/>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_Toc7401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_Toc15016 </w:instrText>
          </w:r>
          <w:r>
            <w:rPr>
              <w:rFonts w:ascii="宋体" w:eastAsia="宋体" w:hAnsi="宋体" w:cs="宋体" w:hint="eastAsia"/>
              <w:szCs w:val="24"/>
            </w:rPr>
            <w:fldChar w:fldCharType="separate"/>
          </w:r>
          <w:r>
            <w:rPr>
              <w:rFonts w:hint="default"/>
            </w:rPr>
            <w:t xml:space="preserve">3.1. </w:t>
          </w:r>
          <w:r>
            <w:rPr>
              <w:rFonts w:hint="eastAsia"/>
            </w:rPr>
            <w:t>运维服务验收</w:t>
          </w:r>
          <w:r>
            <w:tab/>
          </w:r>
          <w:r>
            <w:fldChar w:fldCharType="begin"/>
          </w:r>
          <w:r>
            <w:instrText xml:space="preserve"> PAGEREF _Toc15016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_Toc29766 </w:instrText>
          </w:r>
          <w:r>
            <w:rPr>
              <w:rFonts w:ascii="宋体" w:eastAsia="宋体" w:hAnsi="宋体" w:cs="宋体" w:hint="eastAsia"/>
              <w:szCs w:val="24"/>
            </w:rPr>
            <w:fldChar w:fldCharType="separate"/>
          </w:r>
          <w:r>
            <w:rPr>
              <w:rFonts w:hint="default"/>
            </w:rPr>
            <w:t xml:space="preserve">3.2. </w:t>
          </w:r>
          <w:r>
            <w:rPr>
              <w:rFonts w:hint="eastAsia"/>
            </w:rPr>
            <w:t>初验</w:t>
          </w:r>
          <w:r>
            <w:tab/>
          </w:r>
          <w:r>
            <w:fldChar w:fldCharType="begin"/>
          </w:r>
          <w:r>
            <w:instrText xml:space="preserve"> PAGEREF _Toc29766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_Toc5006 </w:instrText>
          </w:r>
          <w:r>
            <w:rPr>
              <w:rFonts w:ascii="宋体" w:eastAsia="宋体" w:hAnsi="宋体" w:cs="宋体" w:hint="eastAsia"/>
              <w:szCs w:val="24"/>
            </w:rPr>
            <w:fldChar w:fldCharType="separate"/>
          </w:r>
          <w:r>
            <w:rPr>
              <w:rFonts w:hint="default"/>
            </w:rPr>
            <w:t xml:space="preserve">3.3. </w:t>
          </w:r>
          <w:r>
            <w:rPr>
              <w:rFonts w:hint="eastAsia"/>
            </w:rPr>
            <w:t>终验</w:t>
          </w:r>
          <w:r>
            <w:tab/>
          </w:r>
          <w:r>
            <w:fldChar w:fldCharType="begin"/>
          </w:r>
          <w:r>
            <w:instrText xml:space="preserve"> PAGEREF _Toc5006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_Toc829 </w:instrText>
          </w:r>
          <w:r>
            <w:rPr>
              <w:rFonts w:ascii="宋体" w:eastAsia="宋体" w:hAnsi="宋体" w:cs="宋体" w:hint="eastAsia"/>
              <w:szCs w:val="24"/>
            </w:rPr>
            <w:fldChar w:fldCharType="separate"/>
          </w:r>
          <w:r>
            <w:rPr>
              <w:rFonts w:hint="default"/>
            </w:rPr>
            <w:t xml:space="preserve">3.4. </w:t>
          </w:r>
          <w:r>
            <w:rPr>
              <w:rFonts w:hint="eastAsia"/>
            </w:rPr>
            <w:t>服务交付件</w:t>
          </w:r>
          <w:r>
            <w:tab/>
          </w:r>
          <w:r>
            <w:fldChar w:fldCharType="begin"/>
          </w:r>
          <w:r>
            <w:instrText xml:space="preserve"> PAGEREF _Toc829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_Toc30160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_Toc30160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_Toc6817 </w:instrText>
          </w:r>
          <w:r>
            <w:rPr>
              <w:rFonts w:ascii="宋体" w:eastAsia="宋体" w:hAnsi="宋体" w:cs="宋体" w:hint="eastAsia"/>
              <w:szCs w:val="24"/>
            </w:rPr>
            <w:fldChar w:fldCharType="separate"/>
          </w:r>
          <w:r>
            <w:rPr>
              <w:rFonts w:hint="default"/>
              <w:lang w:val="en-US" w:eastAsia="zh-CN"/>
            </w:rPr>
            <w:t>4.1. 验收策划</w:t>
          </w:r>
          <w:r>
            <w:tab/>
          </w:r>
          <w:r>
            <w:fldChar w:fldCharType="begin"/>
          </w:r>
          <w:r>
            <w:instrText xml:space="preserve"> PAGEREF _Toc6817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_Toc12861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验收实施流程</w:t>
          </w:r>
          <w:r>
            <w:tab/>
          </w:r>
          <w:r>
            <w:fldChar w:fldCharType="begin"/>
          </w:r>
          <w:r>
            <w:instrText xml:space="preserve"> PAGEREF _Toc12861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_Toc9774 </w:instrText>
          </w:r>
          <w:r>
            <w:rPr>
              <w:rFonts w:ascii="宋体" w:eastAsia="宋体" w:hAnsi="宋体" w:cs="宋体" w:hint="eastAsia"/>
              <w:szCs w:val="24"/>
            </w:rPr>
            <w:fldChar w:fldCharType="separate"/>
          </w:r>
          <w:r>
            <w:rPr>
              <w:rFonts w:hint="default"/>
              <w:lang w:val="en-US" w:eastAsia="zh-CN"/>
            </w:rPr>
            <w:t>4.3. 验收结论与输出</w:t>
          </w:r>
          <w:r>
            <w:tab/>
          </w:r>
          <w:r>
            <w:fldChar w:fldCharType="begin"/>
          </w:r>
          <w:r>
            <w:instrText xml:space="preserve"> PAGEREF _Toc9774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_Toc29502 </w:instrText>
          </w:r>
          <w:r>
            <w:rPr>
              <w:rFonts w:ascii="宋体" w:eastAsia="宋体" w:hAnsi="宋体" w:cs="宋体" w:hint="eastAsia"/>
              <w:szCs w:val="24"/>
            </w:rPr>
            <w:fldChar w:fldCharType="separate"/>
          </w:r>
          <w:r>
            <w:rPr>
              <w:rFonts w:hint="default"/>
              <w:lang w:val="en-US" w:eastAsia="zh-CN"/>
            </w:rPr>
            <w:t>4.4. 验收后评估与改进</w:t>
          </w:r>
          <w:r>
            <w:tab/>
          </w:r>
          <w:r>
            <w:fldChar w:fldCharType="begin"/>
          </w:r>
          <w:r>
            <w:instrText xml:space="preserve"> PAGEREF _Toc29502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_Toc17878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_Toc17878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_Toc17250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_Toc17250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_Toc17071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_Toc17071 \h </w:instrText>
          </w:r>
          <w:r>
            <w:fldChar w:fldCharType="separate"/>
          </w:r>
          <w:r>
            <w:t>9</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2" w:name="_Toc25240"/>
      <w:r>
        <w:rPr>
          <w:rFonts w:hint="eastAsia"/>
          <w:lang w:val="en-US" w:eastAsia="zh-CN"/>
        </w:rPr>
        <w:t>总则</w:t>
      </w:r>
      <w:bookmarkEnd w:id="2"/>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10698"/>
      <w:r>
        <w:rPr>
          <w:rFonts w:hint="eastAsia"/>
          <w:lang w:val="en-US" w:eastAsia="zh-CN"/>
        </w:rPr>
        <w:t>目的</w:t>
      </w:r>
      <w:bookmarkEnd w:id="3"/>
    </w:p>
    <w:p>
      <w:pPr>
        <w:pStyle w:val="a1"/>
        <w:rPr>
          <w:rFonts w:hint="eastAsia"/>
          <w:lang w:val="en-US" w:eastAsia="zh-CN"/>
        </w:rPr>
      </w:pPr>
      <w:r>
        <w:rPr>
          <w:rFonts w:hint="eastAsia"/>
          <w:lang w:val="en-US" w:eastAsia="zh-CN"/>
        </w:rPr>
        <w:t>为规范公司运维服务的验收管理工作，确保服务交付内容符合既定的质量标准、合同约定及客户要求，有效控制服务交付风险，提升客户满意度，并为服务改进提供输入，特制定本制度。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30528"/>
      <w:r>
        <w:rPr>
          <w:rFonts w:hint="eastAsia"/>
          <w:lang w:val="en-US" w:eastAsia="zh-CN"/>
        </w:rPr>
        <w:t>适用范围</w:t>
      </w:r>
      <w:bookmarkEnd w:id="4"/>
    </w:p>
    <w:p>
      <w:pPr>
        <w:pStyle w:val="a1"/>
        <w:rPr>
          <w:rFonts w:hint="eastAsia"/>
          <w:lang w:val="en-US" w:eastAsia="zh-CN"/>
        </w:rPr>
      </w:pPr>
      <w:r>
        <w:rPr>
          <w:rFonts w:hint="eastAsia"/>
          <w:lang w:val="en-US" w:eastAsia="zh-CN"/>
        </w:rPr>
        <w:t>本制度适用于肇庆市天鹰生物科技有限公司所有对外提供的运维服务项目的验收活动，包括但不限于周期性运维服务（如年度维保）和一次性技术服务（如系统升级、优化项目）的验收。</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9901"/>
      <w:r>
        <w:rPr>
          <w:rFonts w:hint="eastAsia"/>
          <w:lang w:val="en-US" w:eastAsia="zh-CN"/>
        </w:rPr>
        <w:t>原则</w:t>
      </w:r>
      <w:bookmarkEnd w:id="5"/>
    </w:p>
    <w:p>
      <w:pPr>
        <w:pStyle w:val="a1"/>
        <w:numPr>
          <w:ilvl w:val="0"/>
          <w:numId w:val="2"/>
        </w:numPr>
        <w:ind w:left="425" w:hanging="425" w:leftChars="0" w:firstLineChars="0"/>
        <w:rPr>
          <w:rFonts w:hint="eastAsia"/>
          <w:lang w:val="en-US" w:eastAsia="zh-CN"/>
        </w:rPr>
      </w:pPr>
      <w:r>
        <w:rPr>
          <w:rFonts w:hint="eastAsia"/>
          <w:lang w:val="en-US" w:eastAsia="zh-CN"/>
        </w:rPr>
        <w:t>客观公正：以合同、服务级别协议（SLA）及事实数据为依据，客观评价服务交付成果。</w:t>
      </w:r>
    </w:p>
    <w:p>
      <w:pPr>
        <w:pStyle w:val="a1"/>
        <w:numPr>
          <w:ilvl w:val="0"/>
          <w:numId w:val="2"/>
        </w:numPr>
        <w:ind w:left="425" w:hanging="425" w:leftChars="0" w:firstLineChars="0"/>
        <w:rPr>
          <w:rFonts w:hint="eastAsia"/>
          <w:lang w:val="en-US" w:eastAsia="zh-CN"/>
        </w:rPr>
      </w:pPr>
      <w:r>
        <w:rPr>
          <w:rFonts w:hint="eastAsia"/>
          <w:lang w:val="en-US" w:eastAsia="zh-CN"/>
        </w:rPr>
        <w:t>标准明确：验收标准应在服务交付前明确，并得到供需双方的共同认可。</w:t>
      </w:r>
    </w:p>
    <w:p>
      <w:pPr>
        <w:pStyle w:val="a1"/>
        <w:numPr>
          <w:ilvl w:val="0"/>
          <w:numId w:val="2"/>
        </w:numPr>
        <w:ind w:left="425" w:hanging="425" w:leftChars="0" w:firstLineChars="0"/>
        <w:rPr>
          <w:rFonts w:hint="eastAsia"/>
          <w:lang w:val="en-US" w:eastAsia="zh-CN"/>
        </w:rPr>
      </w:pPr>
      <w:r>
        <w:rPr>
          <w:rFonts w:hint="eastAsia"/>
          <w:lang w:val="en-US" w:eastAsia="zh-CN"/>
        </w:rPr>
        <w:t>流程规范：遵循既定的验收程序，确保验收过程的规范性和有效性。</w:t>
      </w:r>
    </w:p>
    <w:p>
      <w:pPr>
        <w:pStyle w:val="a1"/>
        <w:numPr>
          <w:ilvl w:val="0"/>
          <w:numId w:val="2"/>
        </w:numPr>
        <w:ind w:left="425" w:hanging="425" w:leftChars="0" w:firstLineChars="0"/>
        <w:rPr>
          <w:rFonts w:hint="eastAsia"/>
          <w:lang w:val="en-US" w:eastAsia="zh-CN"/>
        </w:rPr>
      </w:pPr>
      <w:r>
        <w:rPr>
          <w:rFonts w:hint="eastAsia"/>
          <w:lang w:val="en-US" w:eastAsia="zh-CN"/>
        </w:rPr>
        <w:t>闭环管理：对验收中发现的问题进行跟踪处理，直至关闭，形成管理闭环。</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3630"/>
      <w:r>
        <w:rPr>
          <w:rFonts w:hint="eastAsia"/>
          <w:lang w:val="en-US" w:eastAsia="zh-CN"/>
        </w:rPr>
        <w:t>岗位职责</w:t>
      </w:r>
      <w:bookmarkEnd w:id="6"/>
    </w:p>
    <w:p>
      <w:pPr>
        <w:pStyle w:val="3"/>
        <w:bidi w:val="0"/>
        <w:rPr>
          <w:rFonts w:hint="default"/>
          <w:lang w:val="en-US" w:eastAsia="zh-CN"/>
        </w:rPr>
      </w:pPr>
      <w:bookmarkStart w:id="7" w:name="_Toc32452"/>
      <w:r>
        <w:rPr>
          <w:rFonts w:hint="eastAsia"/>
          <w:lang w:val="en-US" w:eastAsia="zh-CN"/>
        </w:rPr>
        <w:t>运维部经理</w:t>
      </w:r>
      <w:bookmarkEnd w:id="7"/>
    </w:p>
    <w:p>
      <w:pPr>
        <w:pStyle w:val="a1"/>
        <w:rPr>
          <w:rFonts w:hint="default"/>
          <w:lang w:val="en-US" w:eastAsia="zh-CN"/>
        </w:rPr>
      </w:pPr>
      <w:r>
        <w:rPr>
          <w:rFonts w:hint="default"/>
          <w:lang w:val="en-US" w:eastAsia="zh-CN"/>
        </w:rPr>
        <w:t>负责审批重大项目的验收报告，并监督验收工作的整体执行。</w:t>
      </w:r>
    </w:p>
    <w:p>
      <w:pPr>
        <w:pStyle w:val="3"/>
        <w:bidi w:val="0"/>
        <w:rPr>
          <w:rFonts w:hint="default"/>
          <w:lang w:val="en-US" w:eastAsia="zh-CN"/>
        </w:rPr>
      </w:pPr>
      <w:bookmarkStart w:id="8" w:name="_Toc24164"/>
      <w:r>
        <w:rPr>
          <w:rFonts w:hint="default"/>
          <w:lang w:val="en-US" w:eastAsia="zh-CN"/>
        </w:rPr>
        <w:t>运维项目经理</w:t>
      </w:r>
      <w:bookmarkEnd w:id="8"/>
    </w:p>
    <w:p>
      <w:pPr>
        <w:pStyle w:val="a1"/>
        <w:rPr>
          <w:rFonts w:hint="default"/>
          <w:lang w:val="en-US" w:eastAsia="zh-CN"/>
        </w:rPr>
      </w:pPr>
      <w:r>
        <w:rPr>
          <w:rFonts w:hint="default"/>
          <w:lang w:val="en-US" w:eastAsia="zh-CN"/>
        </w:rPr>
        <w:t>作为验收工作的具体负责人，组织编制验收方案，协调资源完成验收，并处理验收过程中的问题。</w:t>
      </w:r>
    </w:p>
    <w:p>
      <w:pPr>
        <w:pStyle w:val="3"/>
        <w:bidi w:val="0"/>
        <w:rPr>
          <w:rFonts w:hint="default"/>
          <w:lang w:val="en-US" w:eastAsia="zh-CN"/>
        </w:rPr>
      </w:pPr>
      <w:bookmarkStart w:id="9" w:name="_Toc30541"/>
      <w:r>
        <w:rPr>
          <w:rFonts w:hint="default"/>
          <w:lang w:val="en-US" w:eastAsia="zh-CN"/>
        </w:rPr>
        <w:t>质量部</w:t>
      </w:r>
      <w:bookmarkEnd w:id="9"/>
    </w:p>
    <w:p>
      <w:pPr>
        <w:pStyle w:val="a1"/>
        <w:rPr>
          <w:rFonts w:hint="default"/>
          <w:lang w:val="en-US" w:eastAsia="zh-CN"/>
        </w:rPr>
      </w:pPr>
      <w:r>
        <w:rPr>
          <w:rFonts w:hint="default"/>
          <w:lang w:val="en-US" w:eastAsia="zh-CN"/>
        </w:rPr>
        <w:t>负责监督验收过程的规范性，必要时参与或组织独立的第三方验收评测，并负责验收相关文档的最终归档。</w:t>
      </w:r>
    </w:p>
    <w:p>
      <w:pPr>
        <w:pStyle w:val="3"/>
        <w:bidi w:val="0"/>
        <w:rPr>
          <w:rFonts w:hint="default"/>
          <w:lang w:val="en-US" w:eastAsia="zh-CN"/>
        </w:rPr>
      </w:pPr>
      <w:bookmarkStart w:id="10" w:name="_Toc24933"/>
      <w:r>
        <w:rPr>
          <w:rFonts w:hint="eastAsia"/>
          <w:lang w:val="en-US" w:eastAsia="zh-CN"/>
        </w:rPr>
        <w:t>服务台专员</w:t>
      </w:r>
      <w:bookmarkEnd w:id="10"/>
    </w:p>
    <w:p>
      <w:pPr>
        <w:pStyle w:val="a1"/>
        <w:rPr>
          <w:rFonts w:hint="default"/>
          <w:lang w:val="en-US" w:eastAsia="zh-CN"/>
        </w:rPr>
      </w:pPr>
      <w:r>
        <w:rPr>
          <w:rFonts w:hint="default"/>
          <w:lang w:val="en-US" w:eastAsia="zh-CN"/>
        </w:rPr>
        <w:t>负责在验收环节收集客户的直接反馈，参与客户满意度调查部分的工作。</w:t>
      </w:r>
    </w:p>
    <w:p>
      <w:pPr>
        <w:pStyle w:val="3"/>
        <w:bidi w:val="0"/>
        <w:rPr>
          <w:rFonts w:hint="default"/>
          <w:lang w:val="en-US" w:eastAsia="zh-CN"/>
        </w:rPr>
      </w:pPr>
      <w:bookmarkStart w:id="11" w:name="_Toc12306"/>
      <w:r>
        <w:rPr>
          <w:rFonts w:hint="default"/>
          <w:lang w:val="en-US" w:eastAsia="zh-CN"/>
        </w:rPr>
        <w:t>运维工程师</w:t>
      </w:r>
      <w:bookmarkEnd w:id="11"/>
    </w:p>
    <w:p>
      <w:pPr>
        <w:pStyle w:val="a1"/>
        <w:rPr>
          <w:rFonts w:hint="default"/>
          <w:lang w:val="en-US" w:eastAsia="zh-CN"/>
        </w:rPr>
      </w:pPr>
      <w:r>
        <w:rPr>
          <w:rFonts w:hint="default"/>
          <w:lang w:val="en-US" w:eastAsia="zh-CN"/>
        </w:rPr>
        <w:t>负责提供验收所需的技术资料、服务记录报告，并配合进行现场演示或测试。</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2" w:name="_Toc23263"/>
      <w:r>
        <w:rPr>
          <w:rFonts w:hint="eastAsia"/>
          <w:lang w:val="en-US" w:eastAsia="zh-CN"/>
        </w:rPr>
        <w:t>引用依据</w:t>
      </w:r>
      <w:bookmarkEnd w:id="12"/>
    </w:p>
    <w:p>
      <w:pPr>
        <w:pStyle w:val="a1"/>
        <w:numPr>
          <w:ilvl w:val="0"/>
          <w:numId w:val="3"/>
        </w:numPr>
        <w:ind w:left="425" w:hanging="425" w:leftChars="0" w:firstLineChars="0"/>
        <w:rPr>
          <w:rFonts w:hint="eastAsia"/>
          <w:lang w:val="en-US" w:eastAsia="zh-CN"/>
        </w:rPr>
      </w:pPr>
      <w:r>
        <w:rPr>
          <w:rFonts w:hint="eastAsia"/>
          <w:lang w:val="en-US" w:eastAsia="zh-CN"/>
        </w:rPr>
        <w:t>GB/T 28827.1-2022 《信息技术服务 运行维护 第1部分：通用要求》</w:t>
      </w:r>
    </w:p>
    <w:p>
      <w:pPr>
        <w:pStyle w:val="a1"/>
        <w:numPr>
          <w:ilvl w:val="0"/>
          <w:numId w:val="3"/>
        </w:numPr>
        <w:ind w:left="425" w:hanging="425" w:leftChars="0" w:firstLineChars="0"/>
        <w:rPr>
          <w:rFonts w:hint="eastAsia"/>
          <w:lang w:val="en-US" w:eastAsia="zh-CN"/>
        </w:rPr>
      </w:pPr>
      <w:r>
        <w:rPr>
          <w:rFonts w:hint="eastAsia"/>
          <w:lang w:val="en-US" w:eastAsia="zh-CN"/>
        </w:rPr>
        <w:t>GB/T 28827.2-2012 《信息技术服务 运行维护 第2部分：交付规范》</w:t>
      </w:r>
    </w:p>
    <w:p>
      <w:pPr>
        <w:pStyle w:val="a1"/>
        <w:numPr>
          <w:ilvl w:val="0"/>
          <w:numId w:val="3"/>
        </w:numPr>
        <w:ind w:left="425" w:hanging="425" w:leftChars="0" w:firstLineChars="0"/>
        <w:rPr>
          <w:rFonts w:hint="eastAsia"/>
          <w:lang w:val="en-US" w:eastAsia="zh-CN"/>
        </w:rPr>
      </w:pPr>
      <w:r>
        <w:rPr>
          <w:rFonts w:hint="eastAsia"/>
          <w:lang w:val="en-US" w:eastAsia="zh-CN"/>
        </w:rPr>
        <w:t>GB/T 28827.3-2012 《信息技术服务 运行维护 第3部分：应急响应规范》</w:t>
      </w:r>
    </w:p>
    <w:p>
      <w:pPr>
        <w:pStyle w:val="a1"/>
        <w:numPr>
          <w:ilvl w:val="0"/>
          <w:numId w:val="3"/>
        </w:numPr>
        <w:ind w:left="425" w:hanging="425" w:leftChars="0" w:firstLineChars="0"/>
        <w:rPr>
          <w:rFonts w:hint="eastAsia"/>
          <w:lang w:val="en-US" w:eastAsia="zh-CN"/>
        </w:rPr>
      </w:pPr>
      <w:r>
        <w:rPr>
          <w:rFonts w:hint="eastAsia"/>
          <w:lang w:val="en-US" w:eastAsia="zh-CN"/>
        </w:rPr>
        <w:t>T/CESA 1299—2023 《信息技术服务 运行维护服务能力成熟度模型》</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3" w:name="_Toc7401"/>
      <w:r>
        <w:rPr>
          <w:rFonts w:hint="eastAsia"/>
          <w:lang w:val="en-US" w:eastAsia="zh-CN"/>
        </w:rPr>
        <w:t>定义与术语</w:t>
      </w:r>
      <w:bookmarkEnd w:id="13"/>
    </w:p>
    <w:p>
      <w:pPr>
        <w:pStyle w:val="2"/>
        <w:bidi w:val="0"/>
        <w:rPr>
          <w:rFonts w:hint="eastAsia"/>
        </w:rPr>
      </w:pPr>
      <w:bookmarkStart w:id="14" w:name="_Toc15016"/>
      <w:r>
        <w:rPr>
          <w:rFonts w:hint="eastAsia"/>
        </w:rPr>
        <w:t>运维服务验收</w:t>
      </w:r>
      <w:bookmarkEnd w:id="14"/>
    </w:p>
    <w:p>
      <w:pPr>
        <w:pStyle w:val="a1"/>
        <w:rPr>
          <w:rFonts w:hint="eastAsia"/>
        </w:rPr>
      </w:pPr>
      <w:r>
        <w:rPr>
          <w:rFonts w:hint="eastAsia"/>
        </w:rPr>
        <w:t>指按照事先约定的标准和程序，对运维服务交付成果进行检查、测试和评审，以确认其符合合同及SLA要求并予以确认接收的活动。</w:t>
      </w:r>
    </w:p>
    <w:p>
      <w:pPr>
        <w:pStyle w:val="2"/>
        <w:bidi w:val="0"/>
        <w:rPr>
          <w:rFonts w:hint="eastAsia"/>
        </w:rPr>
      </w:pPr>
      <w:bookmarkStart w:id="15" w:name="_Toc29766"/>
      <w:r>
        <w:rPr>
          <w:rFonts w:hint="eastAsia"/>
        </w:rPr>
        <w:t>初验</w:t>
      </w:r>
      <w:bookmarkEnd w:id="15"/>
    </w:p>
    <w:p>
      <w:pPr>
        <w:pStyle w:val="a1"/>
        <w:rPr>
          <w:rFonts w:hint="eastAsia"/>
        </w:rPr>
      </w:pPr>
      <w:r>
        <w:rPr>
          <w:rFonts w:hint="eastAsia"/>
        </w:rPr>
        <w:t>指在服务交付过程中，对阶段性成果或服务周期过半时进行的初步验收。</w:t>
      </w:r>
    </w:p>
    <w:p>
      <w:pPr>
        <w:pStyle w:val="2"/>
        <w:bidi w:val="0"/>
        <w:rPr>
          <w:rFonts w:hint="eastAsia"/>
        </w:rPr>
      </w:pPr>
      <w:bookmarkStart w:id="16" w:name="_Toc5006"/>
      <w:r>
        <w:rPr>
          <w:rFonts w:hint="eastAsia"/>
        </w:rPr>
        <w:t>终验</w:t>
      </w:r>
      <w:bookmarkEnd w:id="16"/>
    </w:p>
    <w:p>
      <w:pPr>
        <w:pStyle w:val="a1"/>
        <w:rPr>
          <w:rFonts w:hint="eastAsia"/>
        </w:rPr>
      </w:pPr>
      <w:r>
        <w:rPr>
          <w:rFonts w:hint="eastAsia"/>
        </w:rPr>
        <w:t>指在服务周期届满或服务项目全部完成后进行的最终验收。</w:t>
      </w:r>
    </w:p>
    <w:p>
      <w:pPr>
        <w:pStyle w:val="2"/>
        <w:bidi w:val="0"/>
        <w:rPr>
          <w:rFonts w:hint="eastAsia"/>
        </w:rPr>
      </w:pPr>
      <w:bookmarkStart w:id="17" w:name="_Toc829"/>
      <w:r>
        <w:rPr>
          <w:rFonts w:hint="eastAsia"/>
        </w:rPr>
        <w:t>服务交付件</w:t>
      </w:r>
      <w:bookmarkEnd w:id="17"/>
    </w:p>
    <w:p>
      <w:pPr>
        <w:pStyle w:val="a1"/>
        <w:rPr>
          <w:rFonts w:hint="eastAsia"/>
        </w:rPr>
      </w:pPr>
      <w:r>
        <w:rPr>
          <w:rFonts w:hint="eastAsia"/>
        </w:rPr>
        <w:t>指运维服务过程中产生的、作为服务交付成果一部分的文档或报告，如《项目服务报告》、《运维季度报告》等。</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8" w:name="_Toc30160"/>
      <w:r>
        <w:rPr>
          <w:rFonts w:hint="eastAsia"/>
          <w:lang w:val="en-US" w:eastAsia="zh-CN"/>
        </w:rPr>
        <w:t>管理内容与要求</w:t>
      </w:r>
      <w:bookmarkEnd w:id="18"/>
    </w:p>
    <w:p>
      <w:pPr>
        <w:pStyle w:val="2"/>
        <w:bidi w:val="0"/>
        <w:rPr>
          <w:rFonts w:hint="default"/>
          <w:lang w:val="en-US" w:eastAsia="zh-CN"/>
        </w:rPr>
      </w:pPr>
      <w:bookmarkStart w:id="19" w:name="_Toc6817"/>
      <w:r>
        <w:rPr>
          <w:rFonts w:hint="default"/>
          <w:lang w:val="en-US" w:eastAsia="zh-CN"/>
        </w:rPr>
        <w:t>验收策划</w:t>
      </w:r>
      <w:bookmarkEnd w:id="19"/>
    </w:p>
    <w:p>
      <w:pPr>
        <w:pStyle w:val="a1"/>
        <w:rPr>
          <w:rFonts w:hint="default"/>
          <w:lang w:val="en-US" w:eastAsia="zh-CN"/>
        </w:rPr>
      </w:pPr>
      <w:r>
        <w:rPr>
          <w:rFonts w:hint="default"/>
          <w:lang w:val="en-US" w:eastAsia="zh-CN"/>
        </w:rPr>
        <w:t>验收计划制定：在服务项目启动或周期性服务开始后，运维主管应制定初步的验收计划，并在服务交付过程中更新完善。该计划应作为《服务质量保证计划》的一部分，明确：</w:t>
      </w:r>
    </w:p>
    <w:p>
      <w:pPr>
        <w:pStyle w:val="a1"/>
        <w:numPr>
          <w:ilvl w:val="0"/>
          <w:numId w:val="4"/>
        </w:numPr>
        <w:ind w:left="425" w:hanging="425" w:leftChars="0" w:firstLineChars="0"/>
        <w:rPr>
          <w:rFonts w:hint="default"/>
          <w:lang w:val="en-US" w:eastAsia="zh-CN"/>
        </w:rPr>
      </w:pPr>
      <w:r>
        <w:rPr>
          <w:rFonts w:hint="default"/>
          <w:lang w:val="en-US" w:eastAsia="zh-CN"/>
        </w:rPr>
        <w:t>验收节点（如中期验收、最终验收）。</w:t>
      </w:r>
    </w:p>
    <w:p>
      <w:pPr>
        <w:pStyle w:val="a1"/>
        <w:numPr>
          <w:ilvl w:val="0"/>
          <w:numId w:val="4"/>
        </w:numPr>
        <w:ind w:left="425" w:hanging="425" w:leftChars="0" w:firstLineChars="0"/>
        <w:rPr>
          <w:rFonts w:hint="default"/>
          <w:lang w:val="en-US" w:eastAsia="zh-CN"/>
        </w:rPr>
      </w:pPr>
      <w:r>
        <w:rPr>
          <w:rFonts w:hint="default"/>
          <w:lang w:val="en-US" w:eastAsia="zh-CN"/>
        </w:rPr>
        <w:t>验收依据（合同、SLA、技术方案等）。</w:t>
      </w:r>
    </w:p>
    <w:p>
      <w:pPr>
        <w:pStyle w:val="a1"/>
        <w:numPr>
          <w:ilvl w:val="0"/>
          <w:numId w:val="4"/>
        </w:numPr>
        <w:ind w:left="425" w:hanging="425" w:leftChars="0" w:firstLineChars="0"/>
        <w:rPr>
          <w:rFonts w:hint="default"/>
          <w:lang w:val="en-US" w:eastAsia="zh-CN"/>
        </w:rPr>
      </w:pPr>
      <w:r>
        <w:rPr>
          <w:rFonts w:hint="default"/>
          <w:lang w:val="en-US" w:eastAsia="zh-CN"/>
        </w:rPr>
        <w:t>验收方法（文档审查、系统演示、性能测试、客户访谈等）。</w:t>
      </w:r>
    </w:p>
    <w:p>
      <w:pPr>
        <w:pStyle w:val="a1"/>
        <w:numPr>
          <w:ilvl w:val="0"/>
          <w:numId w:val="4"/>
        </w:numPr>
        <w:ind w:left="425" w:hanging="425" w:leftChars="0" w:firstLineChars="0"/>
        <w:rPr>
          <w:rFonts w:hint="default"/>
          <w:lang w:val="en-US" w:eastAsia="zh-CN"/>
        </w:rPr>
      </w:pPr>
      <w:r>
        <w:rPr>
          <w:rFonts w:hint="default"/>
          <w:lang w:val="en-US" w:eastAsia="zh-CN"/>
        </w:rPr>
        <w:t>验收组成员及职责。</w:t>
      </w:r>
    </w:p>
    <w:p>
      <w:pPr>
        <w:pStyle w:val="a1"/>
        <w:rPr>
          <w:rFonts w:hint="default"/>
          <w:lang w:val="en-US" w:eastAsia="zh-CN"/>
        </w:rPr>
      </w:pPr>
      <w:r>
        <w:rPr>
          <w:rFonts w:hint="default"/>
          <w:lang w:val="en-US" w:eastAsia="zh-CN"/>
        </w:rPr>
        <w:t>验收标准确认：验收标准必须具体、可衡量，通常包括：</w:t>
      </w:r>
    </w:p>
    <w:p>
      <w:pPr>
        <w:pStyle w:val="a1"/>
        <w:rPr>
          <w:rFonts w:hint="default"/>
          <w:lang w:val="en-US" w:eastAsia="zh-CN"/>
        </w:rPr>
      </w:pPr>
      <w:r>
        <w:rPr>
          <w:rFonts w:hint="default"/>
          <w:lang w:val="en-US" w:eastAsia="zh-CN"/>
        </w:rPr>
        <w:t>服务指标：关键绩效指标（KPI）的达成情况，如系统可用性、事件解决率、平均修复时间等。</w:t>
      </w:r>
    </w:p>
    <w:p>
      <w:pPr>
        <w:pStyle w:val="a1"/>
        <w:rPr>
          <w:rFonts w:hint="default"/>
          <w:lang w:val="en-US" w:eastAsia="zh-CN"/>
        </w:rPr>
      </w:pPr>
      <w:r>
        <w:rPr>
          <w:rFonts w:hint="default"/>
          <w:lang w:val="en-US" w:eastAsia="zh-CN"/>
        </w:rPr>
        <w:t>交付物：合同约定的各类服务报告、文档是否齐全、符合规范。</w:t>
      </w:r>
    </w:p>
    <w:p>
      <w:pPr>
        <w:pStyle w:val="a1"/>
        <w:rPr>
          <w:rFonts w:hint="default"/>
          <w:lang w:val="en-US" w:eastAsia="zh-CN"/>
        </w:rPr>
      </w:pPr>
      <w:r>
        <w:rPr>
          <w:rFonts w:hint="default"/>
          <w:lang w:val="en-US" w:eastAsia="zh-CN"/>
        </w:rPr>
        <w:t>客户满意度：客户对服务过程的整体评价。</w:t>
      </w:r>
    </w:p>
    <w:p>
      <w:pPr>
        <w:pStyle w:val="2"/>
        <w:bidi w:val="0"/>
        <w:rPr>
          <w:rFonts w:hint="default"/>
          <w:lang w:val="en-US" w:eastAsia="zh-CN"/>
        </w:rPr>
      </w:pPr>
      <w:bookmarkStart w:id="20" w:name="_Toc12861"/>
      <w:r>
        <w:rPr>
          <w:rFonts w:hint="eastAsia"/>
          <w:lang w:val="en-US" w:eastAsia="zh-CN"/>
        </w:rPr>
        <w:t>验收实施流程</w:t>
      </w:r>
      <w:bookmarkEnd w:id="20"/>
    </w:p>
    <w:p>
      <w:pPr>
        <w:pStyle w:val="a1"/>
        <w:rPr>
          <w:rFonts w:hint="default"/>
          <w:lang w:val="en-US" w:eastAsia="zh-CN"/>
        </w:rPr>
      </w:pPr>
      <w:r>
        <w:rPr>
          <w:rFonts w:hint="default"/>
          <w:lang w:val="en-US" w:eastAsia="zh-CN"/>
        </w:rPr>
        <w:t>验收准备与申请：服务交付满足验收条件后，由运维主管准备齐全的验收材料（如服务报告、记录、自评报告等），并向运维部负责人和质量部提出验收申请。</w:t>
      </w:r>
      <w:r>
        <w:rPr>
          <w:rFonts w:hint="eastAsia"/>
          <w:lang w:val="en-US" w:eastAsia="zh-CN"/>
        </w:rPr>
        <w:t>验收流程如图4-1所示。</w:t>
      </w:r>
    </w:p>
    <w:p>
      <w:pPr>
        <w:rPr>
          <w:rFonts w:hint="eastAsia"/>
          <w:lang w:val="en-US" w:eastAsia="zh-CN"/>
        </w:rPr>
      </w:pPr>
      <w:r>
        <w:rPr>
          <w:rFonts w:hint="eastAsia"/>
          <w:lang w:val="en-US" w:eastAsia="zh-CN"/>
        </w:rPr>
        <w:br w:type="page"/>
      </w:r>
    </w:p>
    <w:p>
      <w:pPr>
        <w:pStyle w:val="a1"/>
        <w:ind w:left="0" w:right="0" w:firstLine="0" w:leftChars="0" w:rightChars="0" w:firstLineChars="0"/>
        <w:jc w:val="center"/>
        <w:rPr>
          <w:rFonts w:hint="default"/>
          <w:lang w:val="en-US" w:eastAsia="zh-CN"/>
        </w:rPr>
      </w:pPr>
      <w:r>
        <w:rPr>
          <w:rFonts w:hint="eastAsia"/>
          <w:lang w:val="en-US" w:eastAsia="zh-CN"/>
        </w:rPr>
        <w:t>图4-1验收流程图</w:t>
      </w:r>
    </w:p>
    <w:p>
      <w:pPr>
        <w:pStyle w:val="a1"/>
        <w:ind w:left="0" w:right="0" w:firstLine="0" w:leftChars="0" w:rightChars="0" w:firstLineChars="0"/>
        <w:jc w:val="center"/>
        <w:rPr>
          <w:rFonts w:hint="default"/>
          <w:lang w:val="en-US" w:eastAsia="zh-CN"/>
        </w:rPr>
      </w:pPr>
      <w:r>
        <w:drawing>
          <wp:inline distT="0" distB="0" distL="114300" distR="114300">
            <wp:extent cx="4086225" cy="7315200"/>
            <wp:effectExtent l="0" t="0" r="13335"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xmlns:r="http://schemas.openxmlformats.org/officeDocument/2006/relationships" r:embed="rId6"/>
                    <a:stretch>
                      <a:fillRect/>
                    </a:stretch>
                  </pic:blipFill>
                  <pic:spPr>
                    <a:xfrm>
                      <a:off x="0" y="0"/>
                      <a:ext cx="4086225" cy="7315200"/>
                    </a:xfrm>
                    <a:prstGeom prst="rect">
                      <a:avLst/>
                    </a:prstGeom>
                    <a:noFill/>
                    <a:ln>
                      <a:noFill/>
                    </a:ln>
                  </pic:spPr>
                </pic:pic>
              </a:graphicData>
            </a:graphic>
          </wp:inline>
        </w:drawing>
      </w:r>
    </w:p>
    <w:p>
      <w:pPr>
        <w:pStyle w:val="a1"/>
        <w:rPr>
          <w:rFonts w:hint="default"/>
          <w:lang w:val="en-US" w:eastAsia="zh-CN"/>
        </w:rPr>
      </w:pPr>
      <w:r>
        <w:rPr>
          <w:rFonts w:hint="default"/>
          <w:lang w:val="en-US" w:eastAsia="zh-CN"/>
        </w:rPr>
        <w:t>成立验收组：根据项目规模和重要性，验收组可由内部成员组成，或邀请客户代表、第三方专家参与。验收组负责执行具体的验收工作。</w:t>
      </w:r>
    </w:p>
    <w:p>
      <w:pPr>
        <w:pStyle w:val="a1"/>
        <w:rPr>
          <w:rFonts w:hint="default"/>
          <w:lang w:val="en-US" w:eastAsia="zh-CN"/>
        </w:rPr>
      </w:pPr>
      <w:r>
        <w:rPr>
          <w:rFonts w:hint="default"/>
          <w:lang w:val="en-US" w:eastAsia="zh-CN"/>
        </w:rPr>
        <w:t>验收类型与执行：如图所示，验收根据项目性质分路径执行：</w:t>
      </w:r>
    </w:p>
    <w:p>
      <w:pPr>
        <w:pStyle w:val="a1"/>
        <w:rPr>
          <w:rFonts w:hint="default"/>
          <w:lang w:val="en-US" w:eastAsia="zh-CN"/>
        </w:rPr>
      </w:pPr>
      <w:r>
        <w:rPr>
          <w:rFonts w:hint="default"/>
          <w:lang w:val="en-US" w:eastAsia="zh-CN"/>
        </w:rPr>
        <w:t>一次性验收：适用于周期较短或金额较小的服务项目。验收组直接依据标准进行完整验收。</w:t>
      </w:r>
    </w:p>
    <w:p>
      <w:pPr>
        <w:pStyle w:val="a1"/>
        <w:rPr>
          <w:rFonts w:hint="default"/>
          <w:lang w:val="en-US" w:eastAsia="zh-CN"/>
        </w:rPr>
      </w:pPr>
      <w:r>
        <w:rPr>
          <w:rFonts w:hint="default"/>
          <w:lang w:val="en-US" w:eastAsia="zh-CN"/>
        </w:rPr>
        <w:t>阶段性验收（初验+终验）：适用于周期长或复杂的重大项目。初验通过后进入试运行期（通常不少于3个月），试运行期满且问题已解决方可进行终验。</w:t>
      </w:r>
    </w:p>
    <w:p>
      <w:pPr>
        <w:pStyle w:val="a1"/>
        <w:rPr>
          <w:rFonts w:hint="default"/>
          <w:lang w:val="en-US" w:eastAsia="zh-CN"/>
        </w:rPr>
      </w:pPr>
      <w:r>
        <w:rPr>
          <w:rFonts w:hint="default"/>
          <w:lang w:val="en-US" w:eastAsia="zh-CN"/>
        </w:rPr>
        <w:t>验收方法：验收组需综合运用以下方法：</w:t>
      </w:r>
    </w:p>
    <w:p>
      <w:pPr>
        <w:pStyle w:val="a1"/>
        <w:rPr>
          <w:rFonts w:hint="default"/>
          <w:lang w:val="en-US" w:eastAsia="zh-CN"/>
        </w:rPr>
      </w:pPr>
      <w:r>
        <w:rPr>
          <w:rFonts w:hint="default"/>
          <w:lang w:val="en-US" w:eastAsia="zh-CN"/>
        </w:rPr>
        <w:t>文档审查：检查服务交付件是否完整、符合规范。</w:t>
      </w:r>
    </w:p>
    <w:p>
      <w:pPr>
        <w:pStyle w:val="a1"/>
        <w:rPr>
          <w:rFonts w:hint="default"/>
          <w:lang w:val="en-US" w:eastAsia="zh-CN"/>
        </w:rPr>
      </w:pPr>
      <w:r>
        <w:rPr>
          <w:rFonts w:hint="default"/>
          <w:lang w:val="en-US" w:eastAsia="zh-CN"/>
        </w:rPr>
        <w:t>系统演示与功能核实：要求运维团队演示关键服务流程或系统功能。</w:t>
      </w:r>
    </w:p>
    <w:p>
      <w:pPr>
        <w:pStyle w:val="a1"/>
        <w:rPr>
          <w:rFonts w:hint="default"/>
          <w:lang w:val="en-US" w:eastAsia="zh-CN"/>
        </w:rPr>
      </w:pPr>
      <w:r>
        <w:rPr>
          <w:rFonts w:hint="default"/>
          <w:lang w:val="en-US" w:eastAsia="zh-CN"/>
        </w:rPr>
        <w:t>数据核实与性能测试：核对KPI数据，必要时进行性能抽检。</w:t>
      </w:r>
    </w:p>
    <w:p>
      <w:pPr>
        <w:pStyle w:val="a1"/>
        <w:rPr>
          <w:rFonts w:hint="default"/>
          <w:lang w:val="en-US" w:eastAsia="zh-CN"/>
        </w:rPr>
      </w:pPr>
      <w:r>
        <w:rPr>
          <w:rFonts w:hint="default"/>
          <w:lang w:val="en-US" w:eastAsia="zh-CN"/>
        </w:rPr>
        <w:t>客户访谈与满意度调查：直接听取客户反馈，作为验收的重要参考。</w:t>
      </w:r>
    </w:p>
    <w:p>
      <w:pPr>
        <w:pStyle w:val="2"/>
        <w:bidi w:val="0"/>
        <w:rPr>
          <w:rFonts w:hint="default"/>
          <w:lang w:val="en-US" w:eastAsia="zh-CN"/>
        </w:rPr>
      </w:pPr>
      <w:bookmarkStart w:id="21" w:name="_Toc9774"/>
      <w:r>
        <w:rPr>
          <w:rFonts w:hint="default"/>
          <w:lang w:val="en-US" w:eastAsia="zh-CN"/>
        </w:rPr>
        <w:t>验收结论与输出</w:t>
      </w:r>
      <w:bookmarkEnd w:id="21"/>
    </w:p>
    <w:p>
      <w:pPr>
        <w:pStyle w:val="a1"/>
        <w:rPr>
          <w:rFonts w:hint="default"/>
          <w:lang w:val="en-US" w:eastAsia="zh-CN"/>
        </w:rPr>
      </w:pPr>
      <w:r>
        <w:rPr>
          <w:rFonts w:hint="default"/>
          <w:lang w:val="en-US" w:eastAsia="zh-CN"/>
        </w:rPr>
        <w:t>验收报告：无论验收通过与否，验收组均需出具正式的《运维服务验收报告》，报告应明确记录验收过程、各项检查结果、综合结论（通过/有条件通过/不通过）以及专家签字意见。</w:t>
      </w:r>
    </w:p>
    <w:p>
      <w:pPr>
        <w:pStyle w:val="a1"/>
        <w:rPr>
          <w:rFonts w:hint="default"/>
          <w:lang w:val="en-US" w:eastAsia="zh-CN"/>
        </w:rPr>
      </w:pPr>
      <w:r>
        <w:rPr>
          <w:rFonts w:hint="default"/>
          <w:lang w:val="en-US" w:eastAsia="zh-CN"/>
        </w:rPr>
        <w:t>结论处理：</w:t>
      </w:r>
      <w:bookmarkStart w:id="22" w:name="_GoBack"/>
      <w:bookmarkEnd w:id="22"/>
    </w:p>
    <w:p>
      <w:pPr>
        <w:pStyle w:val="a1"/>
        <w:numPr>
          <w:ilvl w:val="0"/>
          <w:numId w:val="5"/>
        </w:numPr>
        <w:ind w:left="425" w:hanging="425" w:leftChars="0" w:firstLineChars="0"/>
        <w:rPr>
          <w:rFonts w:hint="default"/>
          <w:lang w:val="en-US" w:eastAsia="zh-CN"/>
        </w:rPr>
      </w:pPr>
      <w:r>
        <w:rPr>
          <w:rFonts w:hint="default"/>
          <w:lang w:val="en-US" w:eastAsia="zh-CN"/>
        </w:rPr>
        <w:t>通过验收：标志着服务项正式被接收，可进入结算或续约流程。</w:t>
      </w:r>
    </w:p>
    <w:p>
      <w:pPr>
        <w:pStyle w:val="a1"/>
        <w:numPr>
          <w:ilvl w:val="0"/>
          <w:numId w:val="5"/>
        </w:numPr>
        <w:ind w:left="425" w:hanging="425" w:leftChars="0" w:firstLineChars="0"/>
        <w:rPr>
          <w:rFonts w:hint="default"/>
          <w:lang w:val="en-US" w:eastAsia="zh-CN"/>
        </w:rPr>
      </w:pPr>
      <w:r>
        <w:rPr>
          <w:rFonts w:hint="default"/>
          <w:lang w:val="en-US" w:eastAsia="zh-CN"/>
        </w:rPr>
        <w:t>有条件通过：对于存在轻微未达标项但不影响整体使用的，可要求责任部门在约定时间内完成整改，并经复核后关闭。</w:t>
      </w:r>
    </w:p>
    <w:p>
      <w:pPr>
        <w:pStyle w:val="a1"/>
        <w:numPr>
          <w:ilvl w:val="0"/>
          <w:numId w:val="5"/>
        </w:numPr>
        <w:ind w:left="425" w:hanging="425" w:leftChars="0" w:firstLineChars="0"/>
        <w:rPr>
          <w:rFonts w:hint="default"/>
          <w:lang w:val="en-US" w:eastAsia="zh-CN"/>
        </w:rPr>
      </w:pPr>
      <w:r>
        <w:rPr>
          <w:rFonts w:hint="default"/>
          <w:lang w:val="en-US" w:eastAsia="zh-CN"/>
        </w:rPr>
        <w:t>不通过验收：当存在重大缺陷或关键指标未达标时。须立即启动重大不符合项处理程序，运维部须制定整改方案，整改完成后重新申请验收。由此产生的费用和损失由公司承担。</w:t>
      </w:r>
    </w:p>
    <w:p>
      <w:pPr>
        <w:pStyle w:val="2"/>
        <w:bidi w:val="0"/>
        <w:rPr>
          <w:rFonts w:hint="default"/>
          <w:lang w:val="en-US" w:eastAsia="zh-CN"/>
        </w:rPr>
      </w:pPr>
      <w:bookmarkStart w:id="23" w:name="_Toc29502"/>
      <w:r>
        <w:rPr>
          <w:rFonts w:hint="default"/>
          <w:lang w:val="en-US" w:eastAsia="zh-CN"/>
        </w:rPr>
        <w:t>验收后评估与改进</w:t>
      </w:r>
      <w:bookmarkEnd w:id="23"/>
    </w:p>
    <w:p>
      <w:pPr>
        <w:pStyle w:val="a1"/>
        <w:rPr>
          <w:rFonts w:hint="default"/>
          <w:lang w:val="en-US" w:eastAsia="zh-CN"/>
        </w:rPr>
      </w:pPr>
      <w:r>
        <w:rPr>
          <w:rFonts w:hint="default"/>
          <w:lang w:val="en-US" w:eastAsia="zh-CN"/>
        </w:rPr>
        <w:t>项目后评估：对于重大运维服务项目，在通过验收并稳定运行一段时间（如一年）后，运维部可联合质量部组织后评估。评估内容应包括系统运行性能、项目目标达成度、效益及可持续性等方面。</w:t>
      </w:r>
    </w:p>
    <w:p>
      <w:pPr>
        <w:pStyle w:val="a1"/>
        <w:rPr>
          <w:rFonts w:hint="default"/>
          <w:lang w:val="en-US" w:eastAsia="zh-CN"/>
        </w:rPr>
      </w:pPr>
      <w:r>
        <w:rPr>
          <w:rFonts w:hint="default"/>
          <w:lang w:val="en-US" w:eastAsia="zh-CN"/>
        </w:rPr>
        <w:t>持续改进：验收及后评估过程中收集的所有数据、发现的问题及客户反馈，均应作为管理评审和质量改进活动的输入，用于优化服务交付流程和验收标准本身。</w:t>
      </w:r>
    </w:p>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24" w:name="bookmark3"/>
      <w:bookmarkEnd w:id="24"/>
      <w:bookmarkStart w:id="25" w:name="_Toc17424"/>
      <w:bookmarkStart w:id="26" w:name="_Toc17878"/>
      <w:r>
        <w:rPr>
          <w:rStyle w:val="1Char"/>
          <w:rFonts w:eastAsia="宋体" w:hint="eastAsia"/>
          <w:lang w:val="en-US" w:eastAsia="zh-CN"/>
        </w:rPr>
        <w:t>附则</w:t>
      </w:r>
      <w:bookmarkEnd w:id="25"/>
      <w:bookmarkEnd w:id="26"/>
    </w:p>
    <w:p>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质量部</w:t>
      </w:r>
      <w:r>
        <w:rPr>
          <w:rFonts w:ascii="宋体" w:eastAsia="宋体" w:hAnsi="宋体" w:cs="宋体"/>
          <w:spacing w:val="-1"/>
          <w:sz w:val="24"/>
          <w:szCs w:val="24"/>
        </w:rPr>
        <w:t>。</w:t>
      </w:r>
    </w:p>
    <w:p>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7" w:name="bookmark14"/>
      <w:bookmarkEnd w:id="27"/>
      <w:bookmarkStart w:id="28" w:name="_Toc17250"/>
      <w:r>
        <w:rPr>
          <w:rFonts w:hint="eastAsia"/>
          <w:lang w:val="en-US" w:eastAsia="zh-CN"/>
        </w:rPr>
        <w:t>附件</w:t>
      </w:r>
      <w:bookmarkEnd w:id="28"/>
    </w:p>
    <w:p>
      <w:pPr>
        <w:pStyle w:val="a1"/>
        <w:numPr>
          <w:ilvl w:val="0"/>
          <w:numId w:val="7"/>
        </w:numPr>
        <w:ind w:left="425" w:hanging="425" w:leftChars="0" w:firstLineChars="0"/>
        <w:rPr>
          <w:rFonts w:hint="default"/>
          <w:lang w:val="en-US" w:eastAsia="zh-CN"/>
        </w:rPr>
      </w:pPr>
      <w:r>
        <w:rPr>
          <w:rFonts w:hint="default"/>
          <w:lang w:val="en-US" w:eastAsia="zh-CN"/>
        </w:rPr>
        <w:t>《运维服务验收申请单》</w:t>
      </w:r>
    </w:p>
    <w:p>
      <w:pPr>
        <w:pStyle w:val="a1"/>
        <w:numPr>
          <w:ilvl w:val="0"/>
          <w:numId w:val="7"/>
        </w:numPr>
        <w:ind w:left="425" w:hanging="425" w:leftChars="0" w:firstLineChars="0"/>
        <w:rPr>
          <w:rFonts w:hint="default"/>
          <w:lang w:val="en-US" w:eastAsia="zh-CN"/>
        </w:rPr>
      </w:pPr>
      <w:r>
        <w:rPr>
          <w:rFonts w:hint="default"/>
          <w:lang w:val="en-US" w:eastAsia="zh-CN"/>
        </w:rPr>
        <w:t>《运维服务验收报告》（模板）</w:t>
      </w:r>
    </w:p>
    <w:p>
      <w:pPr>
        <w:pStyle w:val="a1"/>
        <w:numPr>
          <w:ilvl w:val="0"/>
          <w:numId w:val="7"/>
        </w:numPr>
        <w:ind w:left="425" w:hanging="425" w:leftChars="0" w:firstLineChars="0"/>
        <w:rPr>
          <w:rFonts w:hint="default"/>
          <w:lang w:val="en-US" w:eastAsia="zh-CN"/>
        </w:rPr>
      </w:pPr>
      <w:r>
        <w:rPr>
          <w:rFonts w:hint="default"/>
          <w:lang w:val="en-US" w:eastAsia="zh-CN"/>
        </w:rPr>
        <w:t>《验收整改通知单》</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9" w:name="_Toc17071"/>
      <w:r>
        <w:rPr>
          <w:rFonts w:hint="eastAsia"/>
          <w:lang w:val="en-US" w:eastAsia="zh-CN"/>
        </w:rPr>
        <w:t>记录</w:t>
      </w:r>
      <w:bookmarkEnd w:id="29"/>
    </w:p>
    <w:p>
      <w:pPr>
        <w:pStyle w:val="a1"/>
        <w:numPr>
          <w:ilvl w:val="0"/>
          <w:numId w:val="8"/>
        </w:numPr>
        <w:ind w:left="425" w:hanging="425" w:leftChars="0" w:firstLineChars="0"/>
        <w:rPr>
          <w:rFonts w:hint="default"/>
          <w:lang w:val="en-US" w:eastAsia="zh-CN"/>
        </w:rPr>
      </w:pPr>
      <w:r>
        <w:rPr>
          <w:rFonts w:hint="default"/>
          <w:lang w:val="en-US" w:eastAsia="zh-CN"/>
        </w:rPr>
        <w:t>《运维服务验收计划》</w:t>
      </w:r>
    </w:p>
    <w:p>
      <w:pPr>
        <w:pStyle w:val="a1"/>
        <w:numPr>
          <w:ilvl w:val="0"/>
          <w:numId w:val="8"/>
        </w:numPr>
        <w:ind w:left="425" w:hanging="425" w:leftChars="0" w:firstLineChars="0"/>
        <w:rPr>
          <w:rFonts w:hint="default"/>
          <w:lang w:val="en-US" w:eastAsia="zh-CN"/>
        </w:rPr>
      </w:pPr>
      <w:r>
        <w:rPr>
          <w:rFonts w:hint="default"/>
          <w:lang w:val="en-US" w:eastAsia="zh-CN"/>
        </w:rPr>
        <w:t>《运维服务验收报告》</w:t>
      </w:r>
    </w:p>
    <w:p>
      <w:pPr>
        <w:pStyle w:val="a1"/>
        <w:numPr>
          <w:ilvl w:val="0"/>
          <w:numId w:val="8"/>
        </w:numPr>
        <w:ind w:left="425" w:hanging="425" w:leftChars="0" w:firstLineChars="0"/>
        <w:rPr>
          <w:rFonts w:hint="default"/>
          <w:lang w:val="en-US" w:eastAsia="zh-CN"/>
        </w:rPr>
      </w:pPr>
      <w:r>
        <w:rPr>
          <w:rFonts w:hint="default"/>
          <w:lang w:val="en-US" w:eastAsia="zh-CN"/>
        </w:rPr>
        <w:t>《服务交付件清单》（如《项目服务报告》、《运维季度报告》等）</w:t>
      </w:r>
    </w:p>
    <w:p>
      <w:pPr>
        <w:pStyle w:val="a1"/>
        <w:numPr>
          <w:ilvl w:val="0"/>
          <w:numId w:val="8"/>
        </w:numPr>
        <w:ind w:left="425" w:hanging="425" w:leftChars="0" w:firstLineChars="0"/>
        <w:rPr>
          <w:rFonts w:hint="default"/>
          <w:lang w:val="en-US" w:eastAsia="zh-CN"/>
        </w:rPr>
      </w:pPr>
      <w:r>
        <w:rPr>
          <w:rFonts w:hint="default"/>
          <w:lang w:val="en-US" w:eastAsia="zh-CN"/>
        </w:rPr>
        <w:t>《客户满意度调查反馈》</w:t>
      </w:r>
    </w:p>
    <w:p>
      <w:pPr>
        <w:pStyle w:val="a1"/>
        <w:rPr>
          <w:rFonts w:hint="default"/>
          <w:lang w:val="en-US" w:eastAsia="zh-CN"/>
        </w:rPr>
      </w:pPr>
      <w:r>
        <w:rPr>
          <w:rFonts w:hint="default"/>
          <w:lang w:val="en-US" w:eastAsia="zh-CN"/>
        </w:rPr>
        <w:t>所有验收相关记录由质量部统一归档，保存期限不少于服务合同期满后3年。</w:t>
      </w:r>
    </w:p>
    <w:sectPr>
      <w:head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A2A4819"/>
    <w:multiLevelType w:val="singleLevel"/>
    <w:tmpl w:val="AA2A4819"/>
    <w:lvl w:ilvl="0">
      <w:start w:val="1"/>
      <w:numFmt w:val="decimal"/>
      <w:lvlText w:val="%1."/>
      <w:lvlJc w:val="left"/>
      <w:pPr>
        <w:ind w:left="425" w:hanging="425"/>
      </w:pPr>
      <w:rPr>
        <w:rFonts w:hint="default"/>
      </w:rPr>
    </w:lvl>
  </w:abstractNum>
  <w:abstractNum w:abstractNumId="2">
    <w:nsid w:val="B4358E78"/>
    <w:multiLevelType w:val="singleLevel"/>
    <w:tmpl w:val="B4358E78"/>
    <w:lvl w:ilvl="0">
      <w:start w:val="1"/>
      <w:numFmt w:val="decimal"/>
      <w:lvlText w:val="%1."/>
      <w:lvlJc w:val="left"/>
      <w:pPr>
        <w:ind w:left="425" w:hanging="425"/>
      </w:pPr>
      <w:rPr>
        <w:rFonts w:hint="default"/>
      </w:rPr>
    </w:lvl>
  </w:abstractNum>
  <w:abstractNum w:abstractNumId="3">
    <w:nsid w:val="C154EC7B"/>
    <w:multiLevelType w:val="singleLevel"/>
    <w:tmpl w:val="C154EC7B"/>
    <w:lvl w:ilvl="0">
      <w:start w:val="1"/>
      <w:numFmt w:val="decimal"/>
      <w:lvlText w:val="%1."/>
      <w:lvlJc w:val="left"/>
      <w:pPr>
        <w:ind w:left="425" w:hanging="425"/>
      </w:pPr>
      <w:rPr>
        <w:rFonts w:hint="default"/>
      </w:rPr>
    </w:lvl>
  </w:abstractNum>
  <w:abstractNum w:abstractNumId="4">
    <w:nsid w:val="E41BDFB0"/>
    <w:multiLevelType w:val="singleLevel"/>
    <w:tmpl w:val="E41BDFB0"/>
    <w:lvl w:ilvl="0">
      <w:start w:val="1"/>
      <w:numFmt w:val="decimal"/>
      <w:lvlText w:val="%1."/>
      <w:lvlJc w:val="left"/>
      <w:pPr>
        <w:ind w:left="425" w:hanging="425"/>
      </w:pPr>
      <w:rPr>
        <w:rFonts w:hint="default"/>
      </w:rPr>
    </w:lvl>
  </w:abstractNum>
  <w:abstractNum w:abstractNumId="5">
    <w:nsid w:val="EBAE2C9F"/>
    <w:multiLevelType w:val="singleLevel"/>
    <w:tmpl w:val="EBAE2C9F"/>
    <w:lvl w:ilvl="0">
      <w:start w:val="1"/>
      <w:numFmt w:val="decimal"/>
      <w:lvlText w:val="%1."/>
      <w:lvlJc w:val="left"/>
      <w:pPr>
        <w:ind w:left="425" w:hanging="425"/>
      </w:pPr>
      <w:rPr>
        <w:rFonts w:hint="default"/>
      </w:rPr>
    </w:lvl>
  </w:abstractNum>
  <w:abstractNum w:abstractNumId="6">
    <w:nsid w:val="F9539CF3"/>
    <w:multiLevelType w:val="singleLevel"/>
    <w:tmpl w:val="F9539CF3"/>
    <w:lvl w:ilvl="0">
      <w:start w:val="1"/>
      <w:numFmt w:val="decimal"/>
      <w:lvlText w:val="%1."/>
      <w:lvlJc w:val="left"/>
      <w:pPr>
        <w:ind w:left="425" w:hanging="425"/>
      </w:pPr>
      <w:rPr>
        <w:rFonts w:hint="default"/>
      </w:rPr>
    </w:lvl>
  </w:abstractNum>
  <w:abstractNum w:abstractNumId="7">
    <w:nsid w:val="12A1C41C"/>
    <w:multiLevelType w:val="singleLevel"/>
    <w:tmpl w:val="12A1C41C"/>
    <w:lvl w:ilvl="0">
      <w:start w:val="1"/>
      <w:numFmt w:val="decimal"/>
      <w:lvlText w:val="%1."/>
      <w:lvlJc w:val="left"/>
      <w:pPr>
        <w:ind w:left="425" w:hanging="425"/>
      </w:pPr>
      <w:rPr>
        <w:rFonts w:hint="default"/>
      </w:rPr>
    </w:lvl>
  </w:abstractNum>
  <w:num w:numId="1">
    <w:abstractNumId w:val="0"/>
  </w:num>
  <w:num w:numId="2">
    <w:abstractNumId w:val="5"/>
  </w:num>
  <w:num w:numId="3">
    <w:abstractNumId w:val="2"/>
  </w:num>
  <w:num w:numId="4">
    <w:abstractNumId w:val="1"/>
  </w:num>
  <w:num w:numId="5">
    <w:abstractNumId w:val="7"/>
  </w:num>
  <w:num w:numId="6">
    <w:abstractNumId w:val="6"/>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4</TotalTime>
  <Pages>9</Pages>
  <Words>2351</Words>
  <Characters>2541</Characters>
  <Application>Microsoft Office Word</Application>
  <DocSecurity>0</DocSecurity>
  <Lines>0</Lines>
  <Paragraphs>0</Paragraphs>
  <ScaleCrop>false</ScaleCrop>
  <Company/>
  <LinksUpToDate>false</LinksUpToDate>
  <CharactersWithSpaces>2658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2026-01-11T15:41:54Z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